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BA" w:rsidRPr="00B10FEB" w:rsidRDefault="004F6ECC" w:rsidP="00B10FEB">
      <w:pPr>
        <w:pStyle w:val="Title"/>
      </w:pPr>
      <w:r w:rsidRPr="00B10FEB">
        <w:rPr>
          <w:lang w:val="en"/>
        </w:rPr>
        <w:t xml:space="preserve">Year-end tax guide </w:t>
      </w:r>
      <w:r w:rsidR="004D5FBA" w:rsidRPr="00B10FEB">
        <w:rPr>
          <w:lang w:val="en"/>
        </w:rPr>
        <w:t>2014/15</w:t>
      </w:r>
    </w:p>
    <w:p w:rsidR="004D5FBA" w:rsidRDefault="004D5FBA" w:rsidP="003D1D5D">
      <w:pPr>
        <w:rPr>
          <w:rFonts w:ascii="Calibri" w:hAnsi="Calibri"/>
          <w:sz w:val="22"/>
          <w:lang w:val="en"/>
        </w:rPr>
      </w:pPr>
      <w:r>
        <w:rPr>
          <w:rFonts w:ascii="Calibri" w:hAnsi="Calibri"/>
          <w:sz w:val="22"/>
          <w:lang w:val="en"/>
        </w:rPr>
        <w:t>A short guide to rates, reliefs and allowances available for use by 5 Apri</w:t>
      </w:r>
      <w:bookmarkStart w:id="0" w:name="_GoBack"/>
      <w:bookmarkEnd w:id="0"/>
      <w:r>
        <w:rPr>
          <w:rFonts w:ascii="Calibri" w:hAnsi="Calibri"/>
          <w:sz w:val="22"/>
          <w:lang w:val="en"/>
        </w:rPr>
        <w:t>l 2015</w:t>
      </w:r>
    </w:p>
    <w:p w:rsidR="00027487" w:rsidRPr="004F6ECC" w:rsidRDefault="00027487" w:rsidP="00B10FEB">
      <w:pPr>
        <w:pStyle w:val="Heading1"/>
        <w:rPr>
          <w:lang w:val="en"/>
        </w:rPr>
      </w:pPr>
      <w:r w:rsidRPr="004F6ECC">
        <w:rPr>
          <w:lang w:val="en"/>
        </w:rPr>
        <w:t>Personal tax</w:t>
      </w:r>
      <w:r w:rsidR="003D1D5D">
        <w:rPr>
          <w:lang w:val="en"/>
        </w:rPr>
        <w:t xml:space="preserve"> and allowances</w:t>
      </w:r>
    </w:p>
    <w:p w:rsidR="003D1D5D" w:rsidRDefault="003D1D5D" w:rsidP="003D1D5D">
      <w:pPr>
        <w:rPr>
          <w:rFonts w:ascii="Calibri" w:hAnsi="Calibri"/>
          <w:sz w:val="22"/>
          <w:lang w:val="en"/>
        </w:rPr>
      </w:pPr>
      <w:r w:rsidRPr="003D1D5D">
        <w:rPr>
          <w:rFonts w:ascii="Calibri" w:hAnsi="Calibri"/>
          <w:sz w:val="22"/>
          <w:lang w:val="en"/>
        </w:rPr>
        <w:t>Allowances and rates affecting income, sa</w:t>
      </w:r>
      <w:r w:rsidR="00550313">
        <w:rPr>
          <w:rFonts w:ascii="Calibri" w:hAnsi="Calibri"/>
          <w:sz w:val="22"/>
          <w:lang w:val="en"/>
        </w:rPr>
        <w:t>vings, investments and pensions</w:t>
      </w:r>
    </w:p>
    <w:p w:rsidR="003D1D5D" w:rsidRDefault="003D1D5D" w:rsidP="00B10FEB">
      <w:pPr>
        <w:pStyle w:val="Heading2"/>
        <w:rPr>
          <w:lang w:val="en"/>
        </w:rPr>
      </w:pPr>
      <w:r>
        <w:rPr>
          <w:lang w:val="en"/>
        </w:rPr>
        <w:t>Income and p</w:t>
      </w:r>
      <w:r w:rsidR="00027487" w:rsidRPr="004F6ECC">
        <w:rPr>
          <w:lang w:val="en"/>
        </w:rPr>
        <w:t xml:space="preserve">ersonal </w:t>
      </w:r>
      <w:r>
        <w:rPr>
          <w:lang w:val="en"/>
        </w:rPr>
        <w:t>a</w:t>
      </w:r>
      <w:r w:rsidR="00027487" w:rsidRPr="004F6ECC">
        <w:rPr>
          <w:lang w:val="en"/>
        </w:rPr>
        <w:t xml:space="preserve">llowances </w:t>
      </w:r>
    </w:p>
    <w:p w:rsidR="003D1D5D" w:rsidRDefault="003D1D5D" w:rsidP="003D1D5D">
      <w:pPr>
        <w:rPr>
          <w:rFonts w:ascii="Calibri" w:hAnsi="Calibri"/>
          <w:sz w:val="22"/>
          <w:lang w:val="en"/>
        </w:rPr>
      </w:pPr>
    </w:p>
    <w:p w:rsidR="00027487" w:rsidRPr="004F6ECC" w:rsidRDefault="00550313" w:rsidP="00B10FEB">
      <w:pPr>
        <w:pStyle w:val="Heading3"/>
        <w:rPr>
          <w:lang w:val="en"/>
        </w:rPr>
      </w:pPr>
      <w:r>
        <w:rPr>
          <w:lang w:val="en"/>
        </w:rPr>
        <w:t>Tax-</w:t>
      </w:r>
      <w:r w:rsidR="00027487" w:rsidRPr="004F6ECC">
        <w:rPr>
          <w:lang w:val="en"/>
        </w:rPr>
        <w:t>free income: £10,000 - £10,660</w:t>
      </w:r>
    </w:p>
    <w:p w:rsidR="003D1D5D" w:rsidRDefault="003D1D5D" w:rsidP="003D1D5D">
      <w:pPr>
        <w:rPr>
          <w:rFonts w:ascii="Calibri" w:hAnsi="Calibri"/>
          <w:sz w:val="22"/>
          <w:lang w:val="en"/>
        </w:rPr>
      </w:pPr>
    </w:p>
    <w:p w:rsidR="00027487" w:rsidRPr="004F6ECC" w:rsidRDefault="00027487" w:rsidP="00B10FEB">
      <w:pPr>
        <w:pStyle w:val="Heading4"/>
        <w:rPr>
          <w:lang w:val="en"/>
        </w:rPr>
      </w:pPr>
      <w:r w:rsidRPr="004F6ECC">
        <w:rPr>
          <w:lang w:val="en"/>
        </w:rPr>
        <w:t>Basics</w:t>
      </w:r>
    </w:p>
    <w:p w:rsidR="00027487" w:rsidRPr="004F6ECC" w:rsidRDefault="00027487" w:rsidP="003D1D5D">
      <w:pPr>
        <w:rPr>
          <w:rFonts w:ascii="Calibri" w:hAnsi="Calibri"/>
          <w:sz w:val="22"/>
          <w:lang w:val="en"/>
        </w:rPr>
      </w:pPr>
      <w:r w:rsidRPr="004F6ECC">
        <w:rPr>
          <w:rFonts w:ascii="Calibri" w:hAnsi="Calibri"/>
          <w:sz w:val="22"/>
          <w:lang w:val="en"/>
        </w:rPr>
        <w:t>Most taxpayers are entitled to a certain level of income that is free of tax. Generally for those born after 5 April 1948 the personal allowance is £10,000 with entitlement to a maximum of £10,660 for those born before 6 A</w:t>
      </w:r>
      <w:r w:rsidR="006B7567">
        <w:rPr>
          <w:rFonts w:ascii="Calibri" w:hAnsi="Calibri"/>
          <w:sz w:val="22"/>
          <w:lang w:val="en"/>
        </w:rPr>
        <w:t xml:space="preserve">pril </w:t>
      </w:r>
      <w:proofErr w:type="gramStart"/>
      <w:r w:rsidR="006B7567">
        <w:rPr>
          <w:rFonts w:ascii="Calibri" w:hAnsi="Calibri"/>
          <w:sz w:val="22"/>
          <w:lang w:val="en"/>
        </w:rPr>
        <w:t>1938.</w:t>
      </w:r>
      <w:proofErr w:type="gramEnd"/>
      <w:r w:rsidR="006B7567">
        <w:rPr>
          <w:rFonts w:ascii="Calibri" w:hAnsi="Calibri"/>
          <w:sz w:val="22"/>
          <w:lang w:val="en"/>
        </w:rPr>
        <w:t xml:space="preserve"> </w:t>
      </w:r>
      <w:r w:rsidRPr="004F6ECC">
        <w:rPr>
          <w:rFonts w:ascii="Calibri" w:hAnsi="Calibri"/>
          <w:sz w:val="22"/>
          <w:lang w:val="en"/>
        </w:rPr>
        <w:t>As ever, conditions and restrictions apply to the entitlement over £10,000. Above the personal allowance income is taxed at rates from 20% to 45%, though some taxpayers with very modest savings and income may only pay 10%.</w:t>
      </w:r>
    </w:p>
    <w:p w:rsidR="00027487" w:rsidRPr="004F6ECC" w:rsidRDefault="00027487" w:rsidP="00B10FEB">
      <w:pPr>
        <w:pStyle w:val="Heading4"/>
        <w:rPr>
          <w:lang w:val="en"/>
        </w:rPr>
      </w:pPr>
      <w:r w:rsidRPr="004F6ECC">
        <w:rPr>
          <w:lang w:val="en"/>
        </w:rPr>
        <w:t>Planning pointer</w:t>
      </w:r>
      <w:r w:rsidR="00550313">
        <w:rPr>
          <w:lang w:val="en"/>
        </w:rPr>
        <w:t>s</w:t>
      </w:r>
    </w:p>
    <w:p w:rsidR="00027487" w:rsidRPr="004F6ECC" w:rsidRDefault="00027487" w:rsidP="003D1D5D">
      <w:pPr>
        <w:rPr>
          <w:rFonts w:ascii="Calibri" w:hAnsi="Calibri"/>
          <w:sz w:val="22"/>
          <w:lang w:val="en"/>
        </w:rPr>
      </w:pPr>
      <w:r w:rsidRPr="004F6ECC">
        <w:rPr>
          <w:rFonts w:ascii="Calibri" w:hAnsi="Calibri"/>
          <w:sz w:val="22"/>
          <w:lang w:val="en"/>
        </w:rPr>
        <w:t xml:space="preserve">Is everyone in your family taking full advantage of the personal allowance? Are there opportunities to </w:t>
      </w:r>
      <w:proofErr w:type="spellStart"/>
      <w:r w:rsidRPr="004F6ECC">
        <w:rPr>
          <w:rFonts w:ascii="Calibri" w:hAnsi="Calibri"/>
          <w:sz w:val="22"/>
          <w:lang w:val="en"/>
        </w:rPr>
        <w:t>utilise</w:t>
      </w:r>
      <w:proofErr w:type="spellEnd"/>
      <w:r w:rsidRPr="004F6ECC">
        <w:rPr>
          <w:rFonts w:ascii="Calibri" w:hAnsi="Calibri"/>
          <w:sz w:val="22"/>
          <w:lang w:val="en"/>
        </w:rPr>
        <w:t xml:space="preserve"> any unused allowances this tax year? What can you do to take advantage of marginal tax rates and reduce the slice taxable at a higher rate? The basic rate of tax increases to the higher rate for taxable income over £31,865 and to 45% when taxable income exceeds £150,000. A higher marginal tax rate may be payable between £100,000 and £120,000 when the personal allowance is gradually withdrawn giving an effective marginal rate of 60% in this band for non-savings and savings income.</w:t>
      </w:r>
    </w:p>
    <w:p w:rsidR="003D1D5D" w:rsidRDefault="00027487" w:rsidP="00B10FEB">
      <w:pPr>
        <w:pStyle w:val="Heading2"/>
        <w:rPr>
          <w:lang w:val="en"/>
        </w:rPr>
      </w:pPr>
      <w:r w:rsidRPr="004F6ECC">
        <w:rPr>
          <w:lang w:val="en"/>
        </w:rPr>
        <w:t>Capital Gains Tax</w:t>
      </w:r>
    </w:p>
    <w:p w:rsidR="00027487" w:rsidRPr="004F6ECC" w:rsidRDefault="00550313" w:rsidP="00550313">
      <w:pPr>
        <w:pStyle w:val="Heading3"/>
        <w:rPr>
          <w:lang w:val="en"/>
        </w:rPr>
      </w:pPr>
      <w:r>
        <w:rPr>
          <w:lang w:val="en"/>
        </w:rPr>
        <w:t xml:space="preserve">Tax </w:t>
      </w:r>
      <w:proofErr w:type="spellStart"/>
      <w:r>
        <w:rPr>
          <w:lang w:val="en"/>
        </w:rPr>
        <w:t>realised</w:t>
      </w:r>
      <w:proofErr w:type="spellEnd"/>
      <w:r>
        <w:rPr>
          <w:lang w:val="en"/>
        </w:rPr>
        <w:t xml:space="preserve"> gains: £11,000</w:t>
      </w:r>
    </w:p>
    <w:p w:rsidR="00027487" w:rsidRPr="004F6ECC" w:rsidRDefault="00027487" w:rsidP="00B10FEB">
      <w:pPr>
        <w:pStyle w:val="Heading4"/>
        <w:rPr>
          <w:lang w:val="en"/>
        </w:rPr>
      </w:pPr>
      <w:r w:rsidRPr="004F6ECC">
        <w:rPr>
          <w:lang w:val="en"/>
        </w:rPr>
        <w:t>Basics</w:t>
      </w:r>
    </w:p>
    <w:p w:rsidR="00027487" w:rsidRPr="004F6ECC" w:rsidRDefault="00027487" w:rsidP="003D1D5D">
      <w:pPr>
        <w:rPr>
          <w:rFonts w:ascii="Calibri" w:hAnsi="Calibri"/>
          <w:sz w:val="22"/>
          <w:lang w:val="en"/>
        </w:rPr>
      </w:pPr>
      <w:r w:rsidRPr="004F6ECC">
        <w:rPr>
          <w:rFonts w:ascii="Calibri" w:hAnsi="Calibri"/>
          <w:sz w:val="22"/>
          <w:lang w:val="en"/>
        </w:rPr>
        <w:t xml:space="preserve">Ordinarily, each person is entitled to make a </w:t>
      </w:r>
      <w:r w:rsidR="003D1D5D">
        <w:rPr>
          <w:rFonts w:ascii="Calibri" w:hAnsi="Calibri"/>
          <w:sz w:val="22"/>
          <w:lang w:val="en"/>
        </w:rPr>
        <w:t>tax</w:t>
      </w:r>
      <w:r w:rsidR="00550313">
        <w:rPr>
          <w:rFonts w:ascii="Calibri" w:hAnsi="Calibri"/>
          <w:sz w:val="22"/>
          <w:lang w:val="en"/>
        </w:rPr>
        <w:t>-</w:t>
      </w:r>
      <w:r w:rsidR="003D1D5D" w:rsidRPr="004F6ECC">
        <w:rPr>
          <w:rFonts w:ascii="Calibri" w:hAnsi="Calibri"/>
          <w:sz w:val="22"/>
          <w:lang w:val="en"/>
        </w:rPr>
        <w:t xml:space="preserve">free </w:t>
      </w:r>
      <w:r w:rsidRPr="004F6ECC">
        <w:rPr>
          <w:rFonts w:ascii="Calibri" w:hAnsi="Calibri"/>
          <w:sz w:val="22"/>
          <w:lang w:val="en"/>
        </w:rPr>
        <w:t>gain up to £11,000 (or up to £5,500 for trusts). Thereafter, gains are taxed at a rate that is income dependent. Where taxable income is less than £31,866 the capital gains tax rate for gains up to the spare basic rate band allowance is 18%. Thereafter, this rises to 28%. The rate applicable to a trust is 28%. For business owners entrepreneurs' relief gives rise to a lower rate of 10% for qualifying gains which provides for a maximum reduction in tax of £1,800,000 (if the gain were £10 million, the current upper limit).</w:t>
      </w:r>
    </w:p>
    <w:p w:rsidR="00027487" w:rsidRPr="004F6ECC" w:rsidRDefault="00027487" w:rsidP="00B10FEB">
      <w:pPr>
        <w:pStyle w:val="Heading4"/>
        <w:rPr>
          <w:lang w:val="en"/>
        </w:rPr>
      </w:pPr>
      <w:r w:rsidRPr="004F6ECC">
        <w:rPr>
          <w:lang w:val="en"/>
        </w:rPr>
        <w:t>Planning pointer</w:t>
      </w:r>
      <w:r w:rsidR="00550313">
        <w:rPr>
          <w:lang w:val="en"/>
        </w:rPr>
        <w:t>s</w:t>
      </w:r>
    </w:p>
    <w:p w:rsidR="00027487" w:rsidRPr="004F6ECC" w:rsidRDefault="00027487" w:rsidP="003D1D5D">
      <w:pPr>
        <w:rPr>
          <w:rFonts w:ascii="Calibri" w:hAnsi="Calibri"/>
          <w:sz w:val="22"/>
          <w:lang w:val="en"/>
        </w:rPr>
      </w:pPr>
      <w:r w:rsidRPr="004F6ECC">
        <w:rPr>
          <w:rFonts w:ascii="Calibri" w:hAnsi="Calibri"/>
          <w:sz w:val="22"/>
          <w:lang w:val="en"/>
        </w:rPr>
        <w:t xml:space="preserve">What tax can be saved by </w:t>
      </w:r>
      <w:proofErr w:type="spellStart"/>
      <w:r w:rsidRPr="004F6ECC">
        <w:rPr>
          <w:rFonts w:ascii="Calibri" w:hAnsi="Calibri"/>
          <w:sz w:val="22"/>
          <w:lang w:val="en"/>
        </w:rPr>
        <w:t>maximising</w:t>
      </w:r>
      <w:proofErr w:type="spellEnd"/>
      <w:r w:rsidRPr="004F6ECC">
        <w:rPr>
          <w:rFonts w:ascii="Calibri" w:hAnsi="Calibri"/>
          <w:sz w:val="22"/>
          <w:lang w:val="en"/>
        </w:rPr>
        <w:t xml:space="preserve"> the advantage of family member tax</w:t>
      </w:r>
      <w:r w:rsidR="00745710">
        <w:rPr>
          <w:rFonts w:ascii="Calibri" w:hAnsi="Calibri"/>
          <w:sz w:val="22"/>
          <w:lang w:val="en"/>
        </w:rPr>
        <w:t xml:space="preserve"> </w:t>
      </w:r>
      <w:r w:rsidRPr="004F6ECC">
        <w:rPr>
          <w:rFonts w:ascii="Calibri" w:hAnsi="Calibri"/>
          <w:sz w:val="22"/>
          <w:lang w:val="en"/>
        </w:rPr>
        <w:t xml:space="preserve">free exemptions? Should an asset that is going to be sold in the future be transferred into joint names? If a gain is going to be </w:t>
      </w:r>
      <w:proofErr w:type="spellStart"/>
      <w:r w:rsidRPr="004F6ECC">
        <w:rPr>
          <w:rFonts w:ascii="Calibri" w:hAnsi="Calibri"/>
          <w:sz w:val="22"/>
          <w:lang w:val="en"/>
        </w:rPr>
        <w:lastRenderedPageBreak/>
        <w:t>realised</w:t>
      </w:r>
      <w:proofErr w:type="spellEnd"/>
      <w:r w:rsidRPr="004F6ECC">
        <w:rPr>
          <w:rFonts w:ascii="Calibri" w:hAnsi="Calibri"/>
          <w:sz w:val="22"/>
          <w:lang w:val="en"/>
        </w:rPr>
        <w:t xml:space="preserve"> are there other assets which are standing at a capital loss that can be used to reduce the quantum of your gains? If tax is due, are there ways of deferring or rolling over the gain?</w:t>
      </w:r>
    </w:p>
    <w:p w:rsidR="003D1D5D" w:rsidRDefault="00027487" w:rsidP="00B10FEB">
      <w:pPr>
        <w:pStyle w:val="Heading2"/>
        <w:rPr>
          <w:lang w:val="en"/>
        </w:rPr>
      </w:pPr>
      <w:r w:rsidRPr="004F6ECC">
        <w:rPr>
          <w:lang w:val="en"/>
        </w:rPr>
        <w:t>Inheritance Tax</w:t>
      </w:r>
    </w:p>
    <w:p w:rsidR="00027487" w:rsidRPr="004F6ECC" w:rsidRDefault="00027487" w:rsidP="00B10FEB">
      <w:pPr>
        <w:pStyle w:val="Heading3"/>
        <w:rPr>
          <w:lang w:val="en"/>
        </w:rPr>
      </w:pPr>
      <w:r w:rsidRPr="004F6ECC">
        <w:rPr>
          <w:lang w:val="en"/>
        </w:rPr>
        <w:t>Tax on lifetime gifts and on death: £3,000</w:t>
      </w:r>
    </w:p>
    <w:p w:rsidR="00027487" w:rsidRPr="004F6ECC" w:rsidRDefault="00027487" w:rsidP="00B10FEB">
      <w:pPr>
        <w:pStyle w:val="Heading4"/>
        <w:rPr>
          <w:lang w:val="en"/>
        </w:rPr>
      </w:pPr>
      <w:r w:rsidRPr="004F6ECC">
        <w:rPr>
          <w:lang w:val="en"/>
        </w:rPr>
        <w:t>Basics</w:t>
      </w:r>
    </w:p>
    <w:p w:rsidR="00027487" w:rsidRPr="004F6ECC" w:rsidRDefault="00027487" w:rsidP="00550313">
      <w:pPr>
        <w:rPr>
          <w:rFonts w:ascii="Calibri" w:hAnsi="Calibri"/>
          <w:sz w:val="22"/>
          <w:lang w:val="en"/>
        </w:rPr>
      </w:pPr>
      <w:r w:rsidRPr="004F6ECC">
        <w:rPr>
          <w:rFonts w:ascii="Calibri" w:hAnsi="Calibri"/>
          <w:sz w:val="22"/>
          <w:lang w:val="en"/>
        </w:rPr>
        <w:t xml:space="preserve">Generally, inheritance tax </w:t>
      </w:r>
      <w:r w:rsidR="00550313">
        <w:rPr>
          <w:rFonts w:ascii="Calibri" w:hAnsi="Calibri"/>
          <w:sz w:val="22"/>
          <w:lang w:val="en"/>
        </w:rPr>
        <w:t xml:space="preserve">(IHT) </w:t>
      </w:r>
      <w:r w:rsidRPr="004F6ECC">
        <w:rPr>
          <w:rFonts w:ascii="Calibri" w:hAnsi="Calibri"/>
          <w:sz w:val="22"/>
          <w:lang w:val="en"/>
        </w:rPr>
        <w:t xml:space="preserve">is due on death at a rate of 40% if the inheritance threshold is exceeded. The current nil rate band threshold for </w:t>
      </w:r>
      <w:r w:rsidR="00550313">
        <w:rPr>
          <w:rFonts w:ascii="Calibri" w:hAnsi="Calibri"/>
          <w:sz w:val="22"/>
          <w:lang w:val="en"/>
        </w:rPr>
        <w:t>IHT</w:t>
      </w:r>
      <w:r w:rsidRPr="004F6ECC">
        <w:rPr>
          <w:rFonts w:ascii="Calibri" w:hAnsi="Calibri"/>
          <w:sz w:val="22"/>
          <w:lang w:val="en"/>
        </w:rPr>
        <w:t xml:space="preserve"> is £325,000. The percentage of any unused nil rate band from the first death may be transferred to the surviving spouse, allowing up to double the nil rate band applicable at the date of the second death. Gifts or transfers made within </w:t>
      </w:r>
      <w:r w:rsidR="003D1D5D">
        <w:rPr>
          <w:rFonts w:ascii="Calibri" w:hAnsi="Calibri"/>
          <w:sz w:val="22"/>
          <w:lang w:val="en"/>
        </w:rPr>
        <w:t xml:space="preserve">7 </w:t>
      </w:r>
      <w:r w:rsidRPr="004F6ECC">
        <w:rPr>
          <w:rFonts w:ascii="Calibri" w:hAnsi="Calibri"/>
          <w:sz w:val="22"/>
          <w:lang w:val="en"/>
        </w:rPr>
        <w:t xml:space="preserve">years of death are also added back into the estate and are liable to </w:t>
      </w:r>
      <w:r w:rsidR="00550313">
        <w:rPr>
          <w:rFonts w:ascii="Calibri" w:hAnsi="Calibri"/>
          <w:sz w:val="22"/>
          <w:lang w:val="en"/>
        </w:rPr>
        <w:t>IHT</w:t>
      </w:r>
      <w:r w:rsidRPr="004F6ECC">
        <w:rPr>
          <w:rFonts w:ascii="Calibri" w:hAnsi="Calibri"/>
          <w:sz w:val="22"/>
          <w:lang w:val="en"/>
        </w:rPr>
        <w:t xml:space="preserve">, but may be subject to some exemptions as well as a tapered reduction for tax on transfers between years </w:t>
      </w:r>
      <w:r w:rsidR="003D1D5D">
        <w:rPr>
          <w:rFonts w:ascii="Calibri" w:hAnsi="Calibri"/>
          <w:sz w:val="22"/>
          <w:lang w:val="en"/>
        </w:rPr>
        <w:t xml:space="preserve">3 </w:t>
      </w:r>
      <w:r w:rsidRPr="004F6ECC">
        <w:rPr>
          <w:rFonts w:ascii="Calibri" w:hAnsi="Calibri"/>
          <w:sz w:val="22"/>
          <w:lang w:val="en"/>
        </w:rPr>
        <w:t xml:space="preserve">and </w:t>
      </w:r>
      <w:r w:rsidR="003D1D5D">
        <w:rPr>
          <w:rFonts w:ascii="Calibri" w:hAnsi="Calibri"/>
          <w:sz w:val="22"/>
          <w:lang w:val="en"/>
        </w:rPr>
        <w:t>7</w:t>
      </w:r>
      <w:r w:rsidRPr="004F6ECC">
        <w:rPr>
          <w:rFonts w:ascii="Calibri" w:hAnsi="Calibri"/>
          <w:sz w:val="22"/>
          <w:lang w:val="en"/>
        </w:rPr>
        <w:t>.</w:t>
      </w:r>
    </w:p>
    <w:p w:rsidR="00027487" w:rsidRPr="004F6ECC" w:rsidRDefault="00027487" w:rsidP="00B10FEB">
      <w:pPr>
        <w:pStyle w:val="Heading4"/>
        <w:rPr>
          <w:lang w:val="en"/>
        </w:rPr>
      </w:pPr>
      <w:r w:rsidRPr="004F6ECC">
        <w:rPr>
          <w:lang w:val="en"/>
        </w:rPr>
        <w:t>Planning pointer</w:t>
      </w:r>
      <w:r w:rsidR="00550313">
        <w:rPr>
          <w:lang w:val="en"/>
        </w:rPr>
        <w:t>s</w:t>
      </w:r>
    </w:p>
    <w:p w:rsidR="00027487" w:rsidRPr="004F6ECC" w:rsidRDefault="00027487" w:rsidP="00550313">
      <w:pPr>
        <w:rPr>
          <w:rFonts w:ascii="Calibri" w:hAnsi="Calibri"/>
          <w:sz w:val="22"/>
          <w:lang w:val="en"/>
        </w:rPr>
      </w:pPr>
      <w:r w:rsidRPr="004F6ECC">
        <w:rPr>
          <w:rFonts w:ascii="Calibri" w:hAnsi="Calibri"/>
          <w:sz w:val="22"/>
          <w:lang w:val="en"/>
        </w:rPr>
        <w:t xml:space="preserve">You have worked hard to create your wealth - now make sure you do all you can to </w:t>
      </w:r>
      <w:proofErr w:type="spellStart"/>
      <w:r w:rsidRPr="004F6ECC">
        <w:rPr>
          <w:rFonts w:ascii="Calibri" w:hAnsi="Calibri"/>
          <w:sz w:val="22"/>
          <w:lang w:val="en"/>
        </w:rPr>
        <w:t>minimise</w:t>
      </w:r>
      <w:proofErr w:type="spellEnd"/>
      <w:r w:rsidRPr="004F6ECC">
        <w:rPr>
          <w:rFonts w:ascii="Calibri" w:hAnsi="Calibri"/>
          <w:sz w:val="22"/>
          <w:lang w:val="en"/>
        </w:rPr>
        <w:t xml:space="preserve"> any payments that may be due for </w:t>
      </w:r>
      <w:r w:rsidR="00550313">
        <w:rPr>
          <w:rFonts w:ascii="Calibri" w:hAnsi="Calibri"/>
          <w:sz w:val="22"/>
          <w:lang w:val="en"/>
        </w:rPr>
        <w:t>IHT</w:t>
      </w:r>
      <w:r w:rsidRPr="004F6ECC">
        <w:rPr>
          <w:rFonts w:ascii="Calibri" w:hAnsi="Calibri"/>
          <w:sz w:val="22"/>
          <w:lang w:val="en"/>
        </w:rPr>
        <w:t xml:space="preserve">. There are many opportunities to plan and the key is to plan </w:t>
      </w:r>
      <w:r w:rsidR="003D1D5D">
        <w:rPr>
          <w:rFonts w:ascii="Calibri" w:hAnsi="Calibri"/>
          <w:sz w:val="22"/>
          <w:lang w:val="en"/>
        </w:rPr>
        <w:t>thoroughly and in good time</w:t>
      </w:r>
      <w:r w:rsidRPr="004F6ECC">
        <w:rPr>
          <w:rFonts w:ascii="Calibri" w:hAnsi="Calibri"/>
          <w:sz w:val="22"/>
          <w:lang w:val="en"/>
        </w:rPr>
        <w:t xml:space="preserve">. </w:t>
      </w:r>
      <w:r w:rsidR="003D1D5D">
        <w:rPr>
          <w:rFonts w:ascii="Calibri" w:hAnsi="Calibri"/>
          <w:sz w:val="22"/>
          <w:lang w:val="en"/>
        </w:rPr>
        <w:t>E</w:t>
      </w:r>
      <w:r w:rsidRPr="004F6ECC">
        <w:rPr>
          <w:rFonts w:ascii="Calibri" w:hAnsi="Calibri"/>
          <w:sz w:val="22"/>
          <w:lang w:val="en"/>
        </w:rPr>
        <w:t>state planning should start early in life</w:t>
      </w:r>
      <w:r w:rsidR="003D1D5D">
        <w:rPr>
          <w:rFonts w:ascii="Calibri" w:hAnsi="Calibri"/>
          <w:sz w:val="22"/>
          <w:lang w:val="en"/>
        </w:rPr>
        <w:t xml:space="preserve"> but</w:t>
      </w:r>
      <w:r w:rsidRPr="004F6ECC">
        <w:rPr>
          <w:rFonts w:ascii="Calibri" w:hAnsi="Calibri"/>
          <w:sz w:val="22"/>
          <w:lang w:val="en"/>
        </w:rPr>
        <w:t xml:space="preserve"> it is never too late to start. </w:t>
      </w:r>
      <w:r w:rsidR="003D1D5D">
        <w:rPr>
          <w:rFonts w:ascii="Calibri" w:hAnsi="Calibri"/>
          <w:sz w:val="22"/>
          <w:lang w:val="en"/>
        </w:rPr>
        <w:t>D</w:t>
      </w:r>
      <w:r w:rsidRPr="004F6ECC">
        <w:rPr>
          <w:rFonts w:ascii="Calibri" w:hAnsi="Calibri"/>
          <w:sz w:val="22"/>
          <w:lang w:val="en"/>
        </w:rPr>
        <w:t>o you have an up-to-date Will - one that reflects your wishes? Are you taking advantage of the available exemptions such as the annual £3,000 exemption, gifts out of income, and gifts on marriage</w:t>
      </w:r>
      <w:r w:rsidR="0035180B">
        <w:rPr>
          <w:rFonts w:ascii="Calibri" w:hAnsi="Calibri"/>
          <w:sz w:val="22"/>
          <w:lang w:val="en"/>
        </w:rPr>
        <w:t xml:space="preserve"> or </w:t>
      </w:r>
      <w:r w:rsidRPr="004F6ECC">
        <w:rPr>
          <w:rFonts w:ascii="Calibri" w:hAnsi="Calibri"/>
          <w:sz w:val="22"/>
          <w:lang w:val="en"/>
        </w:rPr>
        <w:t>civil partnership?</w:t>
      </w:r>
    </w:p>
    <w:p w:rsidR="003D1D5D" w:rsidRDefault="00027487" w:rsidP="00B10FEB">
      <w:pPr>
        <w:pStyle w:val="Heading2"/>
        <w:rPr>
          <w:lang w:val="en"/>
        </w:rPr>
      </w:pPr>
      <w:r w:rsidRPr="004F6ECC">
        <w:rPr>
          <w:lang w:val="en"/>
        </w:rPr>
        <w:t>Pension contributions</w:t>
      </w:r>
    </w:p>
    <w:p w:rsidR="00027487" w:rsidRPr="004F6ECC" w:rsidRDefault="00550313" w:rsidP="00B10FEB">
      <w:pPr>
        <w:pStyle w:val="Heading3"/>
        <w:rPr>
          <w:lang w:val="en"/>
        </w:rPr>
      </w:pPr>
      <w:r>
        <w:rPr>
          <w:lang w:val="en"/>
        </w:rPr>
        <w:t>Annual allowance</w:t>
      </w:r>
      <w:r w:rsidR="00027487" w:rsidRPr="004F6ECC">
        <w:rPr>
          <w:lang w:val="en"/>
        </w:rPr>
        <w:t>: £40,000</w:t>
      </w:r>
    </w:p>
    <w:p w:rsidR="00027487" w:rsidRPr="004F6ECC" w:rsidRDefault="00027487" w:rsidP="00B10FEB">
      <w:pPr>
        <w:pStyle w:val="Heading4"/>
        <w:rPr>
          <w:lang w:val="en"/>
        </w:rPr>
      </w:pPr>
      <w:r w:rsidRPr="004F6ECC">
        <w:rPr>
          <w:lang w:val="en"/>
        </w:rPr>
        <w:t>Basics</w:t>
      </w:r>
    </w:p>
    <w:p w:rsidR="00027487" w:rsidRPr="004F6ECC" w:rsidRDefault="00027487" w:rsidP="003D1D5D">
      <w:pPr>
        <w:rPr>
          <w:rFonts w:ascii="Calibri" w:hAnsi="Calibri"/>
          <w:sz w:val="22"/>
          <w:lang w:val="en"/>
        </w:rPr>
      </w:pPr>
      <w:r w:rsidRPr="004F6ECC">
        <w:rPr>
          <w:rFonts w:ascii="Calibri" w:hAnsi="Calibri"/>
          <w:sz w:val="22"/>
          <w:lang w:val="en"/>
        </w:rPr>
        <w:t>There are limits to how much can be invested in a pension scheme before a tax charge is payable. To qualify for personal tax relief, a contribution must be a pension contribution made by or on behalf of a relevant UK individual. Tax relief for pension contributions is restricted by reference to net relevant earnings and the annual allowance. The annual allowance is currently £40,000 while there is a lifetime allowance which is currently £1.25 million</w:t>
      </w:r>
      <w:r w:rsidR="0035180B">
        <w:rPr>
          <w:rFonts w:ascii="Calibri" w:hAnsi="Calibri"/>
          <w:sz w:val="22"/>
          <w:lang w:val="en"/>
        </w:rPr>
        <w:t>.</w:t>
      </w:r>
      <w:r w:rsidR="0035180B" w:rsidRPr="004F6ECC">
        <w:rPr>
          <w:rFonts w:ascii="Calibri" w:hAnsi="Calibri"/>
          <w:sz w:val="22"/>
          <w:lang w:val="en"/>
        </w:rPr>
        <w:t xml:space="preserve"> </w:t>
      </w:r>
      <w:r w:rsidR="0035180B">
        <w:rPr>
          <w:rFonts w:ascii="Calibri" w:hAnsi="Calibri"/>
          <w:sz w:val="22"/>
          <w:lang w:val="en"/>
        </w:rPr>
        <w:t>H</w:t>
      </w:r>
      <w:r w:rsidRPr="004F6ECC">
        <w:rPr>
          <w:rFonts w:ascii="Calibri" w:hAnsi="Calibri"/>
          <w:sz w:val="22"/>
          <w:lang w:val="en"/>
        </w:rPr>
        <w:t xml:space="preserve">owever, it is possible to carry forward any unused allowances from the previous </w:t>
      </w:r>
      <w:r w:rsidR="0035180B">
        <w:rPr>
          <w:rFonts w:ascii="Calibri" w:hAnsi="Calibri"/>
          <w:sz w:val="22"/>
          <w:lang w:val="en"/>
        </w:rPr>
        <w:t xml:space="preserve">3 </w:t>
      </w:r>
      <w:r w:rsidRPr="004F6ECC">
        <w:rPr>
          <w:rFonts w:ascii="Calibri" w:hAnsi="Calibri"/>
          <w:sz w:val="22"/>
          <w:lang w:val="en"/>
        </w:rPr>
        <w:t>tax years.</w:t>
      </w:r>
    </w:p>
    <w:p w:rsidR="00027487" w:rsidRPr="004F6ECC" w:rsidRDefault="00027487" w:rsidP="00B10FEB">
      <w:pPr>
        <w:pStyle w:val="Heading4"/>
        <w:rPr>
          <w:lang w:val="en"/>
        </w:rPr>
      </w:pPr>
      <w:r w:rsidRPr="004F6ECC">
        <w:rPr>
          <w:lang w:val="en"/>
        </w:rPr>
        <w:t>Planning pointers</w:t>
      </w:r>
    </w:p>
    <w:p w:rsidR="00027487" w:rsidRPr="004F6ECC" w:rsidRDefault="00027487" w:rsidP="003D1D5D">
      <w:pPr>
        <w:rPr>
          <w:rFonts w:ascii="Calibri" w:hAnsi="Calibri"/>
          <w:sz w:val="22"/>
          <w:lang w:val="en"/>
        </w:rPr>
      </w:pPr>
      <w:r w:rsidRPr="004F6ECC">
        <w:rPr>
          <w:rFonts w:ascii="Calibri" w:hAnsi="Calibri"/>
          <w:sz w:val="22"/>
          <w:lang w:val="en"/>
        </w:rPr>
        <w:t>Planning ahead, no matter what your current financial situation is, is not an option. It should be mandatory. A pe</w:t>
      </w:r>
      <w:r w:rsidR="00550313">
        <w:rPr>
          <w:rFonts w:ascii="Calibri" w:hAnsi="Calibri"/>
          <w:sz w:val="22"/>
          <w:lang w:val="en"/>
        </w:rPr>
        <w:t>nsion investment is many people</w:t>
      </w:r>
      <w:r w:rsidRPr="004F6ECC">
        <w:rPr>
          <w:rFonts w:ascii="Calibri" w:hAnsi="Calibri"/>
          <w:sz w:val="22"/>
          <w:lang w:val="en"/>
        </w:rPr>
        <w:t>s</w:t>
      </w:r>
      <w:r w:rsidR="00550313">
        <w:rPr>
          <w:rFonts w:ascii="Calibri" w:hAnsi="Calibri"/>
          <w:sz w:val="22"/>
          <w:lang w:val="en"/>
        </w:rPr>
        <w:t>'</w:t>
      </w:r>
      <w:r w:rsidRPr="004F6ECC">
        <w:rPr>
          <w:rFonts w:ascii="Calibri" w:hAnsi="Calibri"/>
          <w:sz w:val="22"/>
          <w:lang w:val="en"/>
        </w:rPr>
        <w:t xml:space="preserve"> cornerstone as payments into a pension scheme currently attract tax relief of up </w:t>
      </w:r>
      <w:r w:rsidR="00550313">
        <w:rPr>
          <w:rFonts w:ascii="Calibri" w:hAnsi="Calibri"/>
          <w:sz w:val="22"/>
          <w:lang w:val="en"/>
        </w:rPr>
        <w:t>to a potential maximum of 60%</w:t>
      </w:r>
      <w:proofErr w:type="gramStart"/>
      <w:r w:rsidR="00550313">
        <w:rPr>
          <w:rFonts w:ascii="Calibri" w:hAnsi="Calibri"/>
          <w:sz w:val="22"/>
          <w:lang w:val="en"/>
        </w:rPr>
        <w:t>,</w:t>
      </w:r>
      <w:proofErr w:type="gramEnd"/>
      <w:r w:rsidR="00550313">
        <w:rPr>
          <w:rFonts w:ascii="Calibri" w:hAnsi="Calibri"/>
          <w:sz w:val="22"/>
          <w:lang w:val="en"/>
        </w:rPr>
        <w:t xml:space="preserve"> however t</w:t>
      </w:r>
      <w:r w:rsidRPr="004F6ECC">
        <w:rPr>
          <w:rFonts w:ascii="Calibri" w:hAnsi="Calibri"/>
          <w:sz w:val="22"/>
          <w:lang w:val="en"/>
        </w:rPr>
        <w:t>here are undoubtedly other components of retirement planning. When might you retire? What are your income expectations? Is your current plan likely to deliver your expectations?</w:t>
      </w:r>
    </w:p>
    <w:p w:rsidR="0035180B" w:rsidRDefault="00027487" w:rsidP="00B10FEB">
      <w:pPr>
        <w:pStyle w:val="Heading2"/>
        <w:rPr>
          <w:lang w:val="en"/>
        </w:rPr>
      </w:pPr>
      <w:r w:rsidRPr="004F6ECC">
        <w:rPr>
          <w:lang w:val="en"/>
        </w:rPr>
        <w:lastRenderedPageBreak/>
        <w:t xml:space="preserve">ISAs </w:t>
      </w:r>
    </w:p>
    <w:p w:rsidR="00027487" w:rsidRPr="004F6ECC" w:rsidRDefault="0035180B" w:rsidP="00B10FEB">
      <w:pPr>
        <w:pStyle w:val="Heading3"/>
        <w:rPr>
          <w:lang w:val="en"/>
        </w:rPr>
      </w:pPr>
      <w:r>
        <w:rPr>
          <w:lang w:val="en"/>
        </w:rPr>
        <w:t>T</w:t>
      </w:r>
      <w:r w:rsidR="00550313">
        <w:rPr>
          <w:lang w:val="en"/>
        </w:rPr>
        <w:t>ax-</w:t>
      </w:r>
      <w:r w:rsidR="00027487" w:rsidRPr="004F6ECC">
        <w:rPr>
          <w:lang w:val="en"/>
        </w:rPr>
        <w:t>f</w:t>
      </w:r>
      <w:r w:rsidR="00550313">
        <w:rPr>
          <w:lang w:val="en"/>
        </w:rPr>
        <w:t>r</w:t>
      </w:r>
      <w:r w:rsidR="00027487" w:rsidRPr="004F6ECC">
        <w:rPr>
          <w:lang w:val="en"/>
        </w:rPr>
        <w:t>ee savings account: £15,000</w:t>
      </w:r>
    </w:p>
    <w:p w:rsidR="00027487" w:rsidRPr="004F6ECC" w:rsidRDefault="00027487" w:rsidP="00B10FEB">
      <w:pPr>
        <w:pStyle w:val="Heading4"/>
        <w:rPr>
          <w:lang w:val="en"/>
        </w:rPr>
      </w:pPr>
      <w:r w:rsidRPr="004F6ECC">
        <w:rPr>
          <w:lang w:val="en"/>
        </w:rPr>
        <w:t>Basics</w:t>
      </w:r>
    </w:p>
    <w:p w:rsidR="00027487" w:rsidRPr="004F6ECC" w:rsidRDefault="0035180B" w:rsidP="003D1D5D">
      <w:pPr>
        <w:rPr>
          <w:rFonts w:ascii="Calibri" w:hAnsi="Calibri"/>
          <w:sz w:val="22"/>
          <w:lang w:val="en"/>
        </w:rPr>
      </w:pPr>
      <w:r>
        <w:rPr>
          <w:rFonts w:ascii="Calibri" w:hAnsi="Calibri"/>
          <w:sz w:val="22"/>
          <w:lang w:val="en"/>
        </w:rPr>
        <w:t>Individuals who are 18 or over can invest up to £15,000</w:t>
      </w:r>
      <w:r w:rsidR="00550313">
        <w:rPr>
          <w:rFonts w:ascii="Calibri" w:hAnsi="Calibri"/>
          <w:sz w:val="22"/>
          <w:lang w:val="en"/>
        </w:rPr>
        <w:t xml:space="preserve"> in an ISA</w:t>
      </w:r>
      <w:r>
        <w:rPr>
          <w:rFonts w:ascii="Calibri" w:hAnsi="Calibri"/>
          <w:sz w:val="22"/>
          <w:lang w:val="en"/>
        </w:rPr>
        <w:t xml:space="preserve">. </w:t>
      </w:r>
      <w:r w:rsidR="00027487" w:rsidRPr="004F6ECC">
        <w:rPr>
          <w:rFonts w:ascii="Calibri" w:hAnsi="Calibri"/>
          <w:sz w:val="22"/>
          <w:lang w:val="en"/>
        </w:rPr>
        <w:t>I</w:t>
      </w:r>
      <w:r w:rsidR="00550313">
        <w:rPr>
          <w:rFonts w:ascii="Calibri" w:hAnsi="Calibri"/>
          <w:sz w:val="22"/>
          <w:lang w:val="en"/>
        </w:rPr>
        <w:t>ncome and capital gains are tax-</w:t>
      </w:r>
      <w:r w:rsidR="00027487" w:rsidRPr="004F6ECC">
        <w:rPr>
          <w:rFonts w:ascii="Calibri" w:hAnsi="Calibri"/>
          <w:sz w:val="22"/>
          <w:lang w:val="en"/>
        </w:rPr>
        <w:t>free while in a</w:t>
      </w:r>
      <w:r>
        <w:rPr>
          <w:rFonts w:ascii="Calibri" w:hAnsi="Calibri"/>
          <w:sz w:val="22"/>
          <w:lang w:val="en"/>
        </w:rPr>
        <w:t>n</w:t>
      </w:r>
      <w:r w:rsidR="00027487" w:rsidRPr="004F6ECC">
        <w:rPr>
          <w:rFonts w:ascii="Calibri" w:hAnsi="Calibri"/>
          <w:sz w:val="22"/>
          <w:lang w:val="en"/>
        </w:rPr>
        <w:t xml:space="preserve"> ISA, but any investment in a</w:t>
      </w:r>
      <w:r>
        <w:rPr>
          <w:rFonts w:ascii="Calibri" w:hAnsi="Calibri"/>
          <w:sz w:val="22"/>
          <w:lang w:val="en"/>
        </w:rPr>
        <w:t>n</w:t>
      </w:r>
      <w:r w:rsidR="00027487" w:rsidRPr="004F6ECC">
        <w:rPr>
          <w:rFonts w:ascii="Calibri" w:hAnsi="Calibri"/>
          <w:sz w:val="22"/>
          <w:lang w:val="en"/>
        </w:rPr>
        <w:t xml:space="preserve"> ISA is liable to inheritance tax. A Junior ISA of up to £4,000 is available for those who are 17 or under.</w:t>
      </w:r>
    </w:p>
    <w:p w:rsidR="00027487" w:rsidRPr="004F6ECC" w:rsidRDefault="00027487" w:rsidP="00B10FEB">
      <w:pPr>
        <w:pStyle w:val="Heading4"/>
        <w:rPr>
          <w:lang w:val="en"/>
        </w:rPr>
      </w:pPr>
      <w:r w:rsidRPr="004F6ECC">
        <w:rPr>
          <w:lang w:val="en"/>
        </w:rPr>
        <w:t>Planning pointers</w:t>
      </w:r>
    </w:p>
    <w:p w:rsidR="00027487" w:rsidRPr="004F6ECC" w:rsidRDefault="00027487" w:rsidP="003D1D5D">
      <w:pPr>
        <w:rPr>
          <w:rFonts w:ascii="Calibri" w:hAnsi="Calibri"/>
          <w:sz w:val="22"/>
          <w:lang w:val="en"/>
        </w:rPr>
      </w:pPr>
      <w:proofErr w:type="gramStart"/>
      <w:r w:rsidRPr="004F6ECC">
        <w:rPr>
          <w:rFonts w:ascii="Calibri" w:hAnsi="Calibri"/>
          <w:sz w:val="22"/>
          <w:lang w:val="en"/>
        </w:rPr>
        <w:t xml:space="preserve">If you don't </w:t>
      </w:r>
      <w:r w:rsidR="00D47866">
        <w:rPr>
          <w:rFonts w:ascii="Calibri" w:hAnsi="Calibri"/>
          <w:sz w:val="22"/>
          <w:lang w:val="en"/>
        </w:rPr>
        <w:t xml:space="preserve">already </w:t>
      </w:r>
      <w:r w:rsidRPr="004F6ECC">
        <w:rPr>
          <w:rFonts w:ascii="Calibri" w:hAnsi="Calibri"/>
          <w:sz w:val="22"/>
          <w:lang w:val="en"/>
        </w:rPr>
        <w:t xml:space="preserve">have </w:t>
      </w:r>
      <w:r w:rsidR="00D47866">
        <w:rPr>
          <w:rFonts w:ascii="Calibri" w:hAnsi="Calibri"/>
          <w:sz w:val="22"/>
          <w:lang w:val="en"/>
        </w:rPr>
        <w:t>an ISA,</w:t>
      </w:r>
      <w:r w:rsidRPr="004F6ECC">
        <w:rPr>
          <w:rFonts w:ascii="Calibri" w:hAnsi="Calibri"/>
          <w:sz w:val="22"/>
          <w:lang w:val="en"/>
        </w:rPr>
        <w:t xml:space="preserve"> should you start </w:t>
      </w:r>
      <w:r w:rsidR="00D47866">
        <w:rPr>
          <w:rFonts w:ascii="Calibri" w:hAnsi="Calibri"/>
          <w:sz w:val="22"/>
          <w:lang w:val="en"/>
        </w:rPr>
        <w:t>one</w:t>
      </w:r>
      <w:r w:rsidRPr="004F6ECC">
        <w:rPr>
          <w:rFonts w:ascii="Calibri" w:hAnsi="Calibri"/>
          <w:sz w:val="22"/>
          <w:lang w:val="en"/>
        </w:rPr>
        <w:t xml:space="preserve"> this tax year?</w:t>
      </w:r>
      <w:proofErr w:type="gramEnd"/>
      <w:r w:rsidRPr="004F6ECC">
        <w:rPr>
          <w:rFonts w:ascii="Calibri" w:hAnsi="Calibri"/>
          <w:sz w:val="22"/>
          <w:lang w:val="en"/>
        </w:rPr>
        <w:t xml:space="preserve"> A further advantage is that</w:t>
      </w:r>
      <w:r w:rsidR="0030341E">
        <w:rPr>
          <w:rFonts w:ascii="Calibri" w:hAnsi="Calibri"/>
          <w:sz w:val="22"/>
          <w:lang w:val="en"/>
        </w:rPr>
        <w:t xml:space="preserve"> ISAs are</w:t>
      </w:r>
      <w:r w:rsidRPr="004F6ECC">
        <w:rPr>
          <w:rFonts w:ascii="Calibri" w:hAnsi="Calibri"/>
          <w:sz w:val="22"/>
          <w:lang w:val="en"/>
        </w:rPr>
        <w:t xml:space="preserve"> normally readily accessible </w:t>
      </w:r>
      <w:r w:rsidR="00D47866">
        <w:rPr>
          <w:rFonts w:ascii="Calibri" w:hAnsi="Calibri"/>
          <w:sz w:val="22"/>
          <w:lang w:val="en"/>
        </w:rPr>
        <w:t>(</w:t>
      </w:r>
      <w:r w:rsidRPr="004F6ECC">
        <w:rPr>
          <w:rFonts w:ascii="Calibri" w:hAnsi="Calibri"/>
          <w:sz w:val="22"/>
          <w:lang w:val="en"/>
        </w:rPr>
        <w:t>subject to scheme rules</w:t>
      </w:r>
      <w:r w:rsidR="00D47866">
        <w:rPr>
          <w:rFonts w:ascii="Calibri" w:hAnsi="Calibri"/>
          <w:sz w:val="22"/>
          <w:lang w:val="en"/>
        </w:rPr>
        <w:t>)</w:t>
      </w:r>
      <w:r w:rsidRPr="004F6ECC">
        <w:rPr>
          <w:rFonts w:ascii="Calibri" w:hAnsi="Calibri"/>
          <w:sz w:val="22"/>
          <w:lang w:val="en"/>
        </w:rPr>
        <w:t>.</w:t>
      </w:r>
    </w:p>
    <w:p w:rsidR="00027487" w:rsidRPr="004F6ECC" w:rsidRDefault="00027487" w:rsidP="00B10FEB">
      <w:pPr>
        <w:pStyle w:val="Heading2"/>
        <w:rPr>
          <w:lang w:val="en"/>
        </w:rPr>
      </w:pPr>
      <w:r w:rsidRPr="004F6ECC">
        <w:rPr>
          <w:lang w:val="en"/>
        </w:rPr>
        <w:t>Tax Credits</w:t>
      </w:r>
    </w:p>
    <w:p w:rsidR="00027487" w:rsidRPr="004F6ECC" w:rsidRDefault="00027487" w:rsidP="00B10FEB">
      <w:pPr>
        <w:pStyle w:val="Heading4"/>
        <w:rPr>
          <w:lang w:val="en"/>
        </w:rPr>
      </w:pPr>
      <w:r w:rsidRPr="004F6ECC">
        <w:rPr>
          <w:lang w:val="en"/>
        </w:rPr>
        <w:t>Basics</w:t>
      </w:r>
    </w:p>
    <w:p w:rsidR="00027487" w:rsidRPr="004F6ECC" w:rsidRDefault="0030341E" w:rsidP="003D1D5D">
      <w:pPr>
        <w:rPr>
          <w:rFonts w:ascii="Calibri" w:hAnsi="Calibri"/>
          <w:sz w:val="22"/>
          <w:lang w:val="en"/>
        </w:rPr>
      </w:pPr>
      <w:r>
        <w:rPr>
          <w:rFonts w:ascii="Calibri" w:hAnsi="Calibri"/>
          <w:sz w:val="22"/>
          <w:lang w:val="en"/>
        </w:rPr>
        <w:t>Individuals</w:t>
      </w:r>
      <w:r w:rsidR="00027487" w:rsidRPr="004F6ECC">
        <w:rPr>
          <w:rFonts w:ascii="Calibri" w:hAnsi="Calibri"/>
          <w:sz w:val="22"/>
          <w:lang w:val="en"/>
        </w:rPr>
        <w:t xml:space="preserve"> </w:t>
      </w:r>
      <w:r>
        <w:rPr>
          <w:rFonts w:ascii="Calibri" w:hAnsi="Calibri"/>
          <w:sz w:val="22"/>
          <w:lang w:val="en"/>
        </w:rPr>
        <w:t xml:space="preserve">on </w:t>
      </w:r>
      <w:r w:rsidR="00027487" w:rsidRPr="004F6ECC">
        <w:rPr>
          <w:rFonts w:ascii="Calibri" w:hAnsi="Calibri"/>
          <w:sz w:val="22"/>
          <w:lang w:val="en"/>
        </w:rPr>
        <w:t xml:space="preserve">low incomes may be eligible to claim tax credits or the universal credit which was introduced in some parts of the UK in October 2013. Existing claimants will move to universal credit over a </w:t>
      </w:r>
      <w:r>
        <w:rPr>
          <w:rFonts w:ascii="Calibri" w:hAnsi="Calibri"/>
          <w:sz w:val="22"/>
          <w:lang w:val="en"/>
        </w:rPr>
        <w:t>2</w:t>
      </w:r>
      <w:r w:rsidR="00027487" w:rsidRPr="004F6ECC">
        <w:rPr>
          <w:rFonts w:ascii="Calibri" w:hAnsi="Calibri"/>
          <w:sz w:val="22"/>
          <w:lang w:val="en"/>
        </w:rPr>
        <w:t xml:space="preserve">-year period to 2017. The calculations for these benefits can be complex. Basically, they involve determining </w:t>
      </w:r>
      <w:r>
        <w:rPr>
          <w:rFonts w:ascii="Calibri" w:hAnsi="Calibri"/>
          <w:sz w:val="22"/>
          <w:lang w:val="en"/>
        </w:rPr>
        <w:t>3</w:t>
      </w:r>
      <w:r w:rsidRPr="004F6ECC">
        <w:rPr>
          <w:rFonts w:ascii="Calibri" w:hAnsi="Calibri"/>
          <w:sz w:val="22"/>
          <w:lang w:val="en"/>
        </w:rPr>
        <w:t xml:space="preserve"> </w:t>
      </w:r>
      <w:r w:rsidR="00027487" w:rsidRPr="004F6ECC">
        <w:rPr>
          <w:rFonts w:ascii="Calibri" w:hAnsi="Calibri"/>
          <w:sz w:val="22"/>
          <w:lang w:val="en"/>
        </w:rPr>
        <w:t>figures: your maximum benefit, your net income and your allowance.</w:t>
      </w:r>
    </w:p>
    <w:p w:rsidR="00027487" w:rsidRPr="004F6ECC" w:rsidRDefault="00027487" w:rsidP="003D1D5D">
      <w:pPr>
        <w:rPr>
          <w:rFonts w:ascii="Calibri" w:hAnsi="Calibri"/>
          <w:sz w:val="22"/>
          <w:lang w:val="en"/>
        </w:rPr>
      </w:pPr>
      <w:r w:rsidRPr="004F6ECC">
        <w:rPr>
          <w:rFonts w:ascii="Calibri" w:hAnsi="Calibri"/>
          <w:sz w:val="22"/>
          <w:lang w:val="en"/>
        </w:rPr>
        <w:t>The maximum benefit is the amount you would receive if you had no income at all. As some income is disregarded, it is possible that someone could receive the maximum benefit even though they have a small income. Net income is usually earnings after tax, national insurance and pension contributions. If you have capital above a threshold this may require a notional income to be added. The allowances are the maximum amount of income you may earn and still receive the maximum benefit. If your income is above this figure, a percentage of the excess is deducted from the maximum benefit.</w:t>
      </w:r>
    </w:p>
    <w:p w:rsidR="00027487" w:rsidRPr="004F6ECC" w:rsidRDefault="00027487" w:rsidP="00B10FEB">
      <w:pPr>
        <w:pStyle w:val="Heading4"/>
        <w:rPr>
          <w:lang w:val="en"/>
        </w:rPr>
      </w:pPr>
      <w:r w:rsidRPr="004F6ECC">
        <w:rPr>
          <w:lang w:val="en"/>
        </w:rPr>
        <w:t>Planning pointer</w:t>
      </w:r>
      <w:r w:rsidR="00550313">
        <w:rPr>
          <w:lang w:val="en"/>
        </w:rPr>
        <w:t>s</w:t>
      </w:r>
    </w:p>
    <w:p w:rsidR="00027487" w:rsidRPr="004F6ECC" w:rsidRDefault="00027487" w:rsidP="003D1D5D">
      <w:pPr>
        <w:rPr>
          <w:rFonts w:ascii="Calibri" w:hAnsi="Calibri"/>
          <w:sz w:val="22"/>
          <w:lang w:val="en"/>
        </w:rPr>
      </w:pPr>
      <w:r w:rsidRPr="004F6ECC">
        <w:rPr>
          <w:rFonts w:ascii="Calibri" w:hAnsi="Calibri"/>
          <w:sz w:val="22"/>
          <w:lang w:val="en"/>
        </w:rPr>
        <w:t>Check to see if you qualify for these benefits as they can be payable for people with fairly high incomes. As capital can be treated as income that reduces benefit, it may be sensible to give away funds or to spend them upgrading your property (as property value is not regarded as capital)</w:t>
      </w:r>
      <w:r w:rsidR="00D524E7">
        <w:rPr>
          <w:rFonts w:ascii="Calibri" w:hAnsi="Calibri"/>
          <w:sz w:val="22"/>
          <w:lang w:val="en"/>
        </w:rPr>
        <w:t>.</w:t>
      </w:r>
      <w:r w:rsidRPr="004F6ECC">
        <w:rPr>
          <w:rFonts w:ascii="Calibri" w:hAnsi="Calibri"/>
          <w:sz w:val="22"/>
          <w:lang w:val="en"/>
        </w:rPr>
        <w:t xml:space="preserve"> </w:t>
      </w:r>
      <w:r w:rsidR="00D524E7">
        <w:rPr>
          <w:rFonts w:ascii="Calibri" w:hAnsi="Calibri"/>
          <w:sz w:val="22"/>
          <w:lang w:val="en"/>
        </w:rPr>
        <w:t>H</w:t>
      </w:r>
      <w:r w:rsidRPr="004F6ECC">
        <w:rPr>
          <w:rFonts w:ascii="Calibri" w:hAnsi="Calibri"/>
          <w:sz w:val="22"/>
          <w:lang w:val="en"/>
        </w:rPr>
        <w:t>owever, there are rules to counter blatant examples of capital reduction.</w:t>
      </w:r>
    </w:p>
    <w:p w:rsidR="00027487" w:rsidRPr="004F6ECC" w:rsidRDefault="00027487" w:rsidP="003D1D5D">
      <w:pPr>
        <w:rPr>
          <w:rFonts w:ascii="Calibri" w:hAnsi="Calibri"/>
          <w:sz w:val="22"/>
          <w:lang w:val="en"/>
        </w:rPr>
      </w:pPr>
      <w:r w:rsidRPr="004F6ECC">
        <w:rPr>
          <w:rFonts w:ascii="Calibri" w:hAnsi="Calibri"/>
          <w:sz w:val="22"/>
          <w:lang w:val="en"/>
        </w:rPr>
        <w:t>The high percentages at which benefit is withdrawn (between 65% and 76% for universal credit) provide much scope for planning.</w:t>
      </w:r>
    </w:p>
    <w:p w:rsidR="00027487" w:rsidRPr="004F6ECC" w:rsidRDefault="00027487" w:rsidP="003D1D5D">
      <w:pPr>
        <w:rPr>
          <w:rFonts w:ascii="Calibri" w:hAnsi="Calibri"/>
          <w:sz w:val="22"/>
        </w:rPr>
      </w:pPr>
      <w:r w:rsidRPr="004F6ECC">
        <w:rPr>
          <w:rFonts w:ascii="Calibri" w:hAnsi="Calibri"/>
          <w:sz w:val="22"/>
        </w:rPr>
        <w:br w:type="page"/>
      </w:r>
    </w:p>
    <w:p w:rsidR="00027487" w:rsidRDefault="00027487" w:rsidP="00B10FEB">
      <w:pPr>
        <w:pStyle w:val="Heading1"/>
        <w:rPr>
          <w:lang w:val="en"/>
        </w:rPr>
      </w:pPr>
      <w:r w:rsidRPr="004F6ECC">
        <w:rPr>
          <w:lang w:val="en"/>
        </w:rPr>
        <w:lastRenderedPageBreak/>
        <w:t>Business taxes</w:t>
      </w:r>
      <w:r w:rsidR="00D524E7">
        <w:rPr>
          <w:lang w:val="en"/>
        </w:rPr>
        <w:t>, allowances and reliefs</w:t>
      </w:r>
    </w:p>
    <w:p w:rsidR="00D524E7" w:rsidRPr="004F6ECC" w:rsidRDefault="00550313" w:rsidP="003D1D5D">
      <w:pPr>
        <w:rPr>
          <w:rFonts w:ascii="Calibri" w:hAnsi="Calibri"/>
          <w:sz w:val="22"/>
          <w:lang w:val="en"/>
        </w:rPr>
      </w:pPr>
      <w:r>
        <w:rPr>
          <w:rFonts w:ascii="Calibri" w:hAnsi="Calibri"/>
          <w:sz w:val="22"/>
          <w:lang w:val="en"/>
        </w:rPr>
        <w:t>The latest date for action in most cases is the business year-end</w:t>
      </w:r>
    </w:p>
    <w:p w:rsidR="00027487" w:rsidRPr="004F6ECC" w:rsidRDefault="00027487" w:rsidP="00B10FEB">
      <w:pPr>
        <w:pStyle w:val="Heading2"/>
        <w:rPr>
          <w:lang w:val="en"/>
        </w:rPr>
      </w:pPr>
      <w:r w:rsidRPr="004F6ECC">
        <w:rPr>
          <w:lang w:val="en"/>
        </w:rPr>
        <w:t>Corporation Tax</w:t>
      </w:r>
    </w:p>
    <w:p w:rsidR="00027487" w:rsidRPr="004F6ECC" w:rsidRDefault="00027487" w:rsidP="00B10FEB">
      <w:pPr>
        <w:pStyle w:val="Heading4"/>
        <w:rPr>
          <w:lang w:val="en"/>
        </w:rPr>
      </w:pPr>
      <w:r w:rsidRPr="004F6ECC">
        <w:rPr>
          <w:lang w:val="en"/>
        </w:rPr>
        <w:t>Basics</w:t>
      </w:r>
    </w:p>
    <w:p w:rsidR="00027487" w:rsidRPr="004F6ECC" w:rsidRDefault="00027487" w:rsidP="003D1D5D">
      <w:pPr>
        <w:rPr>
          <w:rFonts w:ascii="Calibri" w:hAnsi="Calibri"/>
          <w:sz w:val="22"/>
          <w:lang w:val="en"/>
        </w:rPr>
      </w:pPr>
      <w:r w:rsidRPr="004F6ECC">
        <w:rPr>
          <w:rFonts w:ascii="Calibri" w:hAnsi="Calibri"/>
          <w:sz w:val="22"/>
          <w:lang w:val="en"/>
        </w:rPr>
        <w:t>The rate of tax payable depends on the size of the profits. For the financial year from 1 April 2014, taxable profits of up to £300,000 are taxed at a rate of 20%, the next tranche at 21.25% and over £1.5 million at 21%. These thresholds are lower if there are associated companies, that is, companies under common ownership. Corporation tax self</w:t>
      </w:r>
      <w:r w:rsidR="004837B1">
        <w:rPr>
          <w:rFonts w:ascii="Calibri" w:hAnsi="Calibri"/>
          <w:sz w:val="22"/>
          <w:lang w:val="en"/>
        </w:rPr>
        <w:t>-</w:t>
      </w:r>
      <w:r w:rsidRPr="004F6ECC">
        <w:rPr>
          <w:rFonts w:ascii="Calibri" w:hAnsi="Calibri"/>
          <w:sz w:val="22"/>
          <w:lang w:val="en"/>
        </w:rPr>
        <w:t xml:space="preserve">assessment requires companies to work out their own tax liability as part of their return and account for the 'self-assessed' liability to corporation tax. </w:t>
      </w:r>
      <w:r w:rsidR="004837B1" w:rsidRPr="004F6ECC">
        <w:rPr>
          <w:rFonts w:ascii="Calibri" w:hAnsi="Calibri"/>
          <w:sz w:val="22"/>
          <w:lang w:val="en"/>
        </w:rPr>
        <w:t>Th</w:t>
      </w:r>
      <w:r w:rsidR="004837B1">
        <w:rPr>
          <w:rFonts w:ascii="Calibri" w:hAnsi="Calibri"/>
          <w:sz w:val="22"/>
          <w:lang w:val="en"/>
        </w:rPr>
        <w:t>is</w:t>
      </w:r>
      <w:r w:rsidR="004837B1" w:rsidRPr="004F6ECC">
        <w:rPr>
          <w:rFonts w:ascii="Calibri" w:hAnsi="Calibri"/>
          <w:sz w:val="22"/>
          <w:lang w:val="en"/>
        </w:rPr>
        <w:t xml:space="preserve"> </w:t>
      </w:r>
      <w:r w:rsidRPr="004F6ECC">
        <w:rPr>
          <w:rFonts w:ascii="Calibri" w:hAnsi="Calibri"/>
          <w:sz w:val="22"/>
          <w:lang w:val="en"/>
        </w:rPr>
        <w:t>is part of the role we undertake as accountants.</w:t>
      </w:r>
    </w:p>
    <w:p w:rsidR="00027487" w:rsidRPr="004F6ECC" w:rsidRDefault="00027487" w:rsidP="00B10FEB">
      <w:pPr>
        <w:pStyle w:val="Heading4"/>
        <w:rPr>
          <w:lang w:val="en"/>
        </w:rPr>
      </w:pPr>
      <w:r w:rsidRPr="004F6ECC">
        <w:rPr>
          <w:lang w:val="en"/>
        </w:rPr>
        <w:t>Planning pointers</w:t>
      </w:r>
    </w:p>
    <w:p w:rsidR="00027487" w:rsidRPr="004F6ECC" w:rsidRDefault="00027487" w:rsidP="003D1D5D">
      <w:pPr>
        <w:rPr>
          <w:rFonts w:ascii="Calibri" w:hAnsi="Calibri"/>
          <w:sz w:val="22"/>
          <w:lang w:val="en"/>
        </w:rPr>
      </w:pPr>
      <w:r w:rsidRPr="004F6ECC">
        <w:rPr>
          <w:rFonts w:ascii="Calibri" w:hAnsi="Calibri"/>
          <w:sz w:val="22"/>
          <w:lang w:val="en"/>
        </w:rPr>
        <w:t xml:space="preserve">Taxable profits are typically reduced by employers making pension contributions. </w:t>
      </w:r>
      <w:r w:rsidR="004837B1">
        <w:rPr>
          <w:rFonts w:ascii="Calibri" w:hAnsi="Calibri"/>
          <w:sz w:val="22"/>
          <w:lang w:val="en"/>
        </w:rPr>
        <w:t>Self-invested personal pensions (</w:t>
      </w:r>
      <w:r w:rsidRPr="004F6ECC">
        <w:rPr>
          <w:rFonts w:ascii="Calibri" w:hAnsi="Calibri"/>
          <w:sz w:val="22"/>
          <w:lang w:val="en"/>
        </w:rPr>
        <w:t>SIPPs</w:t>
      </w:r>
      <w:r w:rsidR="004837B1">
        <w:rPr>
          <w:rFonts w:ascii="Calibri" w:hAnsi="Calibri"/>
          <w:sz w:val="22"/>
          <w:lang w:val="en"/>
        </w:rPr>
        <w:t>)</w:t>
      </w:r>
      <w:r w:rsidRPr="004F6ECC">
        <w:rPr>
          <w:rFonts w:ascii="Calibri" w:hAnsi="Calibri"/>
          <w:sz w:val="22"/>
          <w:lang w:val="en"/>
        </w:rPr>
        <w:t xml:space="preserve"> are popular with many company owner-directors. Another popular tax reduction strategy is to bring qualifying capital expenditure forward to take advantage of the £500,000</w:t>
      </w:r>
      <w:r w:rsidR="004837B1">
        <w:rPr>
          <w:rFonts w:ascii="Calibri" w:hAnsi="Calibri"/>
          <w:sz w:val="22"/>
          <w:lang w:val="en"/>
        </w:rPr>
        <w:t>,</w:t>
      </w:r>
      <w:r w:rsidRPr="004F6ECC">
        <w:rPr>
          <w:rFonts w:ascii="Calibri" w:hAnsi="Calibri"/>
          <w:sz w:val="22"/>
          <w:lang w:val="en"/>
        </w:rPr>
        <w:t xml:space="preserve"> 100% annual investment allowance. For a company in the marginal rate, that potentially reduces the cost of £500,000 capital expenditure to £393,750.</w:t>
      </w:r>
    </w:p>
    <w:p w:rsidR="004837B1" w:rsidRDefault="00027487" w:rsidP="00550313">
      <w:pPr>
        <w:pStyle w:val="Heading2"/>
        <w:rPr>
          <w:lang w:val="en"/>
        </w:rPr>
      </w:pPr>
      <w:r w:rsidRPr="004F6ECC">
        <w:rPr>
          <w:lang w:val="en"/>
        </w:rPr>
        <w:t>V</w:t>
      </w:r>
      <w:r w:rsidR="00550313">
        <w:rPr>
          <w:lang w:val="en"/>
        </w:rPr>
        <w:t>alue Added Tax</w:t>
      </w:r>
    </w:p>
    <w:p w:rsidR="00027487" w:rsidRPr="004F6ECC" w:rsidRDefault="00027487" w:rsidP="00B10FEB">
      <w:pPr>
        <w:pStyle w:val="Heading3"/>
        <w:rPr>
          <w:lang w:val="en"/>
        </w:rPr>
      </w:pPr>
      <w:r w:rsidRPr="004F6ECC">
        <w:rPr>
          <w:lang w:val="en"/>
        </w:rPr>
        <w:t>Registration threshold: £81,000</w:t>
      </w:r>
    </w:p>
    <w:p w:rsidR="00027487" w:rsidRPr="004F6ECC" w:rsidRDefault="00027487" w:rsidP="00B10FEB">
      <w:pPr>
        <w:pStyle w:val="Heading4"/>
        <w:rPr>
          <w:lang w:val="en"/>
        </w:rPr>
      </w:pPr>
      <w:r w:rsidRPr="004F6ECC">
        <w:rPr>
          <w:lang w:val="en"/>
        </w:rPr>
        <w:t>Basics</w:t>
      </w:r>
    </w:p>
    <w:p w:rsidR="00027487" w:rsidRPr="004F6ECC" w:rsidRDefault="00550313" w:rsidP="003D1D5D">
      <w:pPr>
        <w:rPr>
          <w:rFonts w:ascii="Calibri" w:hAnsi="Calibri"/>
          <w:sz w:val="22"/>
          <w:lang w:val="en"/>
        </w:rPr>
      </w:pPr>
      <w:r>
        <w:rPr>
          <w:rFonts w:ascii="Calibri" w:hAnsi="Calibri"/>
          <w:sz w:val="22"/>
          <w:lang w:val="en"/>
        </w:rPr>
        <w:t>Value Added Tax (</w:t>
      </w:r>
      <w:r w:rsidR="00027487" w:rsidRPr="004F6ECC">
        <w:rPr>
          <w:rFonts w:ascii="Calibri" w:hAnsi="Calibri"/>
          <w:sz w:val="22"/>
          <w:lang w:val="en"/>
        </w:rPr>
        <w:t>VAT</w:t>
      </w:r>
      <w:r>
        <w:rPr>
          <w:rFonts w:ascii="Calibri" w:hAnsi="Calibri"/>
          <w:sz w:val="22"/>
          <w:lang w:val="en"/>
        </w:rPr>
        <w:t>)</w:t>
      </w:r>
      <w:r w:rsidR="00027487" w:rsidRPr="004F6ECC">
        <w:rPr>
          <w:rFonts w:ascii="Calibri" w:hAnsi="Calibri"/>
          <w:sz w:val="22"/>
          <w:lang w:val="en"/>
        </w:rPr>
        <w:t xml:space="preserve"> is chargeable where taxable turnover is in excess of £81,000 in the previous 12 months or you expect this threshold will be exceeded within the next 30 days. There is a range of special schemes which are intended to simplify VAT accounting. These include the cash accounting scheme, annual accounting scheme and the flat rate scheme.</w:t>
      </w:r>
    </w:p>
    <w:p w:rsidR="00027487" w:rsidRPr="004F6ECC" w:rsidRDefault="00027487" w:rsidP="00B10FEB">
      <w:pPr>
        <w:pStyle w:val="Heading4"/>
        <w:rPr>
          <w:lang w:val="en"/>
        </w:rPr>
      </w:pPr>
      <w:r w:rsidRPr="004F6ECC">
        <w:rPr>
          <w:lang w:val="en"/>
        </w:rPr>
        <w:t>Planning pointers</w:t>
      </w:r>
    </w:p>
    <w:p w:rsidR="00027487" w:rsidRPr="004F6ECC" w:rsidRDefault="00027487" w:rsidP="003D1D5D">
      <w:pPr>
        <w:rPr>
          <w:rFonts w:ascii="Calibri" w:hAnsi="Calibri"/>
          <w:sz w:val="22"/>
          <w:lang w:val="en"/>
        </w:rPr>
      </w:pPr>
      <w:r w:rsidRPr="004F6ECC">
        <w:rPr>
          <w:rFonts w:ascii="Calibri" w:hAnsi="Calibri"/>
          <w:sz w:val="22"/>
          <w:lang w:val="en"/>
        </w:rPr>
        <w:t xml:space="preserve">Would it be appropriate for you to use one of the special schemes? Are you claiming any VAT bad debt relief that you are entitled to? Are you accounting for VAT on the fuel used for private motoring using the appropriate scale charge? </w:t>
      </w:r>
      <w:r w:rsidR="004837B1">
        <w:rPr>
          <w:rFonts w:ascii="Calibri" w:hAnsi="Calibri"/>
          <w:sz w:val="22"/>
          <w:lang w:val="en"/>
        </w:rPr>
        <w:t>M</w:t>
      </w:r>
      <w:r w:rsidRPr="004F6ECC">
        <w:rPr>
          <w:rFonts w:ascii="Calibri" w:hAnsi="Calibri"/>
          <w:sz w:val="22"/>
          <w:lang w:val="en"/>
        </w:rPr>
        <w:t>ake sure that you don't reclaim VAT on cars (unless you are a car dealer or taxi company, for example, or provide certain pool or leased cars for employees) or on entertaining UK customers.</w:t>
      </w:r>
    </w:p>
    <w:p w:rsidR="00027487" w:rsidRPr="004F6ECC" w:rsidRDefault="00027487" w:rsidP="00B10FEB">
      <w:pPr>
        <w:pStyle w:val="Heading2"/>
        <w:rPr>
          <w:lang w:val="en"/>
        </w:rPr>
      </w:pPr>
      <w:r w:rsidRPr="004F6ECC">
        <w:rPr>
          <w:lang w:val="en"/>
        </w:rPr>
        <w:t>Business deductions</w:t>
      </w:r>
    </w:p>
    <w:p w:rsidR="00027487" w:rsidRPr="004F6ECC" w:rsidRDefault="00027487" w:rsidP="00B10FEB">
      <w:pPr>
        <w:pStyle w:val="Heading4"/>
        <w:rPr>
          <w:lang w:val="en"/>
        </w:rPr>
      </w:pPr>
      <w:r w:rsidRPr="004F6ECC">
        <w:rPr>
          <w:lang w:val="en"/>
        </w:rPr>
        <w:t>Basics</w:t>
      </w:r>
    </w:p>
    <w:p w:rsidR="00027487" w:rsidRPr="004F6ECC" w:rsidRDefault="00027487" w:rsidP="003D1D5D">
      <w:pPr>
        <w:rPr>
          <w:rFonts w:ascii="Calibri" w:hAnsi="Calibri"/>
          <w:sz w:val="22"/>
          <w:lang w:val="en"/>
        </w:rPr>
      </w:pPr>
      <w:r w:rsidRPr="004F6ECC">
        <w:rPr>
          <w:rFonts w:ascii="Calibri" w:hAnsi="Calibri"/>
          <w:sz w:val="22"/>
          <w:lang w:val="en"/>
        </w:rPr>
        <w:t xml:space="preserve">Business owners are entitled to claim deductions from income </w:t>
      </w:r>
      <w:r w:rsidR="00465574">
        <w:rPr>
          <w:rFonts w:ascii="Calibri" w:hAnsi="Calibri"/>
          <w:sz w:val="22"/>
          <w:lang w:val="en"/>
        </w:rPr>
        <w:t>for</w:t>
      </w:r>
      <w:r w:rsidRPr="004F6ECC">
        <w:rPr>
          <w:rFonts w:ascii="Calibri" w:hAnsi="Calibri"/>
          <w:sz w:val="22"/>
          <w:lang w:val="en"/>
        </w:rPr>
        <w:t xml:space="preserve"> costs which are incurred wholly and exclusively in running the business. Determining how this rule applies in practice can be a challenge. A deduction may not be claimed in respect of depreciation, but deductions in the form of capital allowances are available for some expenditure on qualifying capital expenditure.</w:t>
      </w:r>
    </w:p>
    <w:p w:rsidR="00027487" w:rsidRPr="004F6ECC" w:rsidRDefault="00027487" w:rsidP="00B10FEB">
      <w:pPr>
        <w:pStyle w:val="Heading4"/>
        <w:rPr>
          <w:lang w:val="en"/>
        </w:rPr>
      </w:pPr>
      <w:r w:rsidRPr="004F6ECC">
        <w:rPr>
          <w:lang w:val="en"/>
        </w:rPr>
        <w:lastRenderedPageBreak/>
        <w:t>Planning pointers</w:t>
      </w:r>
    </w:p>
    <w:p w:rsidR="00027487" w:rsidRPr="004F6ECC" w:rsidRDefault="00027487" w:rsidP="00550313">
      <w:pPr>
        <w:rPr>
          <w:rFonts w:ascii="Calibri" w:hAnsi="Calibri"/>
          <w:sz w:val="22"/>
          <w:lang w:val="en"/>
        </w:rPr>
      </w:pPr>
      <w:r w:rsidRPr="004F6ECC">
        <w:rPr>
          <w:rFonts w:ascii="Calibri" w:hAnsi="Calibri"/>
          <w:sz w:val="22"/>
          <w:lang w:val="en"/>
        </w:rPr>
        <w:t xml:space="preserve">We have already looked at pension contributions and capital expenditure. So, it is important to ensure that all costs incurred are recorded. Directors' bonuses can be claimed so long as they are paid within </w:t>
      </w:r>
      <w:r w:rsidR="00550313">
        <w:rPr>
          <w:rFonts w:ascii="Calibri" w:hAnsi="Calibri"/>
          <w:sz w:val="22"/>
          <w:lang w:val="en"/>
        </w:rPr>
        <w:t>9 months after the company year-</w:t>
      </w:r>
      <w:r w:rsidRPr="004F6ECC">
        <w:rPr>
          <w:rFonts w:ascii="Calibri" w:hAnsi="Calibri"/>
          <w:sz w:val="22"/>
          <w:lang w:val="en"/>
        </w:rPr>
        <w:t>end but pension contributio</w:t>
      </w:r>
      <w:r w:rsidR="00550313">
        <w:rPr>
          <w:rFonts w:ascii="Calibri" w:hAnsi="Calibri"/>
          <w:sz w:val="22"/>
          <w:lang w:val="en"/>
        </w:rPr>
        <w:t>ns must be paid before the year-</w:t>
      </w:r>
      <w:r w:rsidRPr="004F6ECC">
        <w:rPr>
          <w:rFonts w:ascii="Calibri" w:hAnsi="Calibri"/>
          <w:sz w:val="22"/>
          <w:lang w:val="en"/>
        </w:rPr>
        <w:t>end to get tax relief in the accounting period. Salaries can be made to family members as long as they are justifiable and at commercial rates. Other ways of extracting profits include dividends and benefits in kind.</w:t>
      </w:r>
    </w:p>
    <w:p w:rsidR="00027487" w:rsidRDefault="00027487" w:rsidP="00B10FEB">
      <w:pPr>
        <w:pStyle w:val="Heading2"/>
        <w:rPr>
          <w:lang w:val="en"/>
        </w:rPr>
      </w:pPr>
      <w:r w:rsidRPr="004F6ECC">
        <w:rPr>
          <w:lang w:val="en"/>
        </w:rPr>
        <w:t>Entrepreneurs' relief</w:t>
      </w:r>
    </w:p>
    <w:p w:rsidR="00550313" w:rsidRPr="00550313" w:rsidRDefault="00550313" w:rsidP="00550313">
      <w:pPr>
        <w:pStyle w:val="Heading3"/>
        <w:rPr>
          <w:lang w:val="en"/>
        </w:rPr>
      </w:pPr>
      <w:r>
        <w:rPr>
          <w:lang w:val="en"/>
        </w:rPr>
        <w:t>Relief on disposals: 10%</w:t>
      </w:r>
    </w:p>
    <w:p w:rsidR="00027487" w:rsidRPr="004F6ECC" w:rsidRDefault="00027487" w:rsidP="00B10FEB">
      <w:pPr>
        <w:pStyle w:val="Heading4"/>
        <w:rPr>
          <w:lang w:val="en"/>
        </w:rPr>
      </w:pPr>
      <w:r w:rsidRPr="004F6ECC">
        <w:rPr>
          <w:lang w:val="en"/>
        </w:rPr>
        <w:t>Basics</w:t>
      </w:r>
    </w:p>
    <w:p w:rsidR="00027487" w:rsidRPr="004F6ECC" w:rsidRDefault="00027487" w:rsidP="003D1D5D">
      <w:pPr>
        <w:rPr>
          <w:rFonts w:ascii="Calibri" w:hAnsi="Calibri"/>
          <w:sz w:val="22"/>
          <w:lang w:val="en"/>
        </w:rPr>
      </w:pPr>
      <w:r w:rsidRPr="004F6ECC">
        <w:rPr>
          <w:rFonts w:ascii="Calibri" w:hAnsi="Calibri"/>
          <w:sz w:val="22"/>
          <w:lang w:val="en"/>
        </w:rPr>
        <w:t>Entrepreneurs' relief provides relief for disposals by smaller business owners. It charges a reduced tax rate of 10% on disposals up to the lifetime limit of £10 million giving rise to a potential tax saving of up to £1.8 million. The relief is available on material disposals of business assets which covers businesses operated as a sole trader, partnership or through a limited company.</w:t>
      </w:r>
    </w:p>
    <w:p w:rsidR="00027487" w:rsidRPr="004F6ECC" w:rsidRDefault="00027487" w:rsidP="00B10FEB">
      <w:pPr>
        <w:pStyle w:val="Heading4"/>
        <w:rPr>
          <w:lang w:val="en"/>
        </w:rPr>
      </w:pPr>
      <w:r w:rsidRPr="004F6ECC">
        <w:rPr>
          <w:lang w:val="en"/>
        </w:rPr>
        <w:t>Planning pointers</w:t>
      </w:r>
    </w:p>
    <w:p w:rsidR="00027487" w:rsidRPr="004F6ECC" w:rsidRDefault="00027487" w:rsidP="003D1D5D">
      <w:pPr>
        <w:rPr>
          <w:rFonts w:ascii="Calibri" w:hAnsi="Calibri"/>
          <w:sz w:val="22"/>
          <w:lang w:val="en"/>
        </w:rPr>
      </w:pPr>
      <w:r w:rsidRPr="004F6ECC">
        <w:rPr>
          <w:rFonts w:ascii="Calibri" w:hAnsi="Calibri"/>
          <w:sz w:val="22"/>
          <w:lang w:val="en"/>
        </w:rPr>
        <w:t xml:space="preserve">The liability to capital gains tax is </w:t>
      </w:r>
      <w:r w:rsidR="00465574">
        <w:rPr>
          <w:rFonts w:ascii="Calibri" w:hAnsi="Calibri"/>
          <w:sz w:val="22"/>
          <w:lang w:val="en"/>
        </w:rPr>
        <w:t>just</w:t>
      </w:r>
      <w:r w:rsidR="00465574" w:rsidRPr="004F6ECC">
        <w:rPr>
          <w:rFonts w:ascii="Calibri" w:hAnsi="Calibri"/>
          <w:sz w:val="22"/>
          <w:lang w:val="en"/>
        </w:rPr>
        <w:t xml:space="preserve"> </w:t>
      </w:r>
      <w:r w:rsidRPr="004F6ECC">
        <w:rPr>
          <w:rFonts w:ascii="Calibri" w:hAnsi="Calibri"/>
          <w:sz w:val="22"/>
          <w:lang w:val="en"/>
        </w:rPr>
        <w:t xml:space="preserve">one aspect of all the planning that goes into the wording of the final contract for sale. </w:t>
      </w:r>
      <w:proofErr w:type="spellStart"/>
      <w:r w:rsidRPr="004F6ECC">
        <w:rPr>
          <w:rFonts w:ascii="Calibri" w:hAnsi="Calibri"/>
          <w:sz w:val="22"/>
          <w:lang w:val="en"/>
        </w:rPr>
        <w:t>Maximising</w:t>
      </w:r>
      <w:proofErr w:type="spellEnd"/>
      <w:r w:rsidRPr="004F6ECC">
        <w:rPr>
          <w:rFonts w:ascii="Calibri" w:hAnsi="Calibri"/>
          <w:sz w:val="22"/>
          <w:lang w:val="en"/>
        </w:rPr>
        <w:t xml:space="preserve"> the sale value and looking carefully at the proposed sale structure helps to ensure the liability to capital taxes is not </w:t>
      </w:r>
      <w:r w:rsidR="00465574">
        <w:rPr>
          <w:rFonts w:ascii="Calibri" w:hAnsi="Calibri"/>
          <w:sz w:val="22"/>
          <w:lang w:val="en"/>
        </w:rPr>
        <w:t>a</w:t>
      </w:r>
      <w:r w:rsidR="00465574" w:rsidRPr="004F6ECC">
        <w:rPr>
          <w:rFonts w:ascii="Calibri" w:hAnsi="Calibri"/>
          <w:sz w:val="22"/>
          <w:lang w:val="en"/>
        </w:rPr>
        <w:t xml:space="preserve"> </w:t>
      </w:r>
      <w:r w:rsidRPr="004F6ECC">
        <w:rPr>
          <w:rFonts w:ascii="Calibri" w:hAnsi="Calibri"/>
          <w:sz w:val="22"/>
          <w:lang w:val="en"/>
        </w:rPr>
        <w:t xml:space="preserve">penny more than absolutely necessary. There are a number of planning opportunities in this area but there are also pitfalls if some shareholders do not qualify for this relief. </w:t>
      </w:r>
    </w:p>
    <w:p w:rsidR="00465574" w:rsidRDefault="00027487" w:rsidP="00550313">
      <w:pPr>
        <w:pStyle w:val="Heading2"/>
        <w:rPr>
          <w:lang w:val="en"/>
        </w:rPr>
      </w:pPr>
      <w:r w:rsidRPr="004F6ECC">
        <w:rPr>
          <w:lang w:val="en"/>
        </w:rPr>
        <w:t>Lan</w:t>
      </w:r>
      <w:r w:rsidR="00550313">
        <w:rPr>
          <w:lang w:val="en"/>
        </w:rPr>
        <w:t>dlords Energy Saving Allowance</w:t>
      </w:r>
    </w:p>
    <w:p w:rsidR="00027487" w:rsidRPr="004F6ECC" w:rsidRDefault="00027487" w:rsidP="00B10FEB">
      <w:pPr>
        <w:pStyle w:val="Heading3"/>
        <w:rPr>
          <w:lang w:val="en"/>
        </w:rPr>
      </w:pPr>
      <w:r w:rsidRPr="004F6ECC">
        <w:rPr>
          <w:lang w:val="en"/>
        </w:rPr>
        <w:t xml:space="preserve"> Saving per dwelling house: £1,500</w:t>
      </w:r>
      <w:r w:rsidR="00B73A7C">
        <w:rPr>
          <w:lang w:val="en"/>
        </w:rPr>
        <w:t xml:space="preserve"> tax deductible expenditure</w:t>
      </w:r>
    </w:p>
    <w:p w:rsidR="00027487" w:rsidRPr="004F6ECC" w:rsidRDefault="00027487" w:rsidP="00B10FEB">
      <w:pPr>
        <w:pStyle w:val="Heading4"/>
        <w:rPr>
          <w:lang w:val="en"/>
        </w:rPr>
      </w:pPr>
      <w:r w:rsidRPr="004F6ECC">
        <w:rPr>
          <w:lang w:val="en"/>
        </w:rPr>
        <w:t>Basics</w:t>
      </w:r>
    </w:p>
    <w:p w:rsidR="00027487" w:rsidRPr="004F6ECC" w:rsidRDefault="00550313" w:rsidP="003D1D5D">
      <w:pPr>
        <w:rPr>
          <w:rFonts w:ascii="Calibri" w:hAnsi="Calibri"/>
          <w:sz w:val="22"/>
          <w:lang w:val="en"/>
        </w:rPr>
      </w:pPr>
      <w:r>
        <w:rPr>
          <w:rFonts w:ascii="Calibri" w:hAnsi="Calibri"/>
          <w:sz w:val="22"/>
          <w:lang w:val="en"/>
        </w:rPr>
        <w:t>Landlord's Energy Saving Allowance (</w:t>
      </w:r>
      <w:r w:rsidR="00027487" w:rsidRPr="004F6ECC">
        <w:rPr>
          <w:rFonts w:ascii="Calibri" w:hAnsi="Calibri"/>
          <w:sz w:val="22"/>
          <w:lang w:val="en"/>
        </w:rPr>
        <w:t>LESA</w:t>
      </w:r>
      <w:r>
        <w:rPr>
          <w:rFonts w:ascii="Calibri" w:hAnsi="Calibri"/>
          <w:sz w:val="22"/>
          <w:lang w:val="en"/>
        </w:rPr>
        <w:t>)</w:t>
      </w:r>
      <w:r w:rsidR="00027487" w:rsidRPr="004F6ECC">
        <w:rPr>
          <w:rFonts w:ascii="Calibri" w:hAnsi="Calibri"/>
          <w:sz w:val="22"/>
          <w:lang w:val="en"/>
        </w:rPr>
        <w:t xml:space="preserve"> is available until April 2015. Under the rules, qualifying expenditure of up to £1,500 per dwelling is tax deductible. Expenditure which qualifies for this deduction from rental income includes loft insulation, cavity wall insulation, solid wall insulation, draft proofing, hot water insulation and floor insulation.</w:t>
      </w:r>
    </w:p>
    <w:p w:rsidR="00027487" w:rsidRPr="004F6ECC" w:rsidRDefault="00027487" w:rsidP="00B10FEB">
      <w:pPr>
        <w:pStyle w:val="Heading4"/>
        <w:rPr>
          <w:lang w:val="en"/>
        </w:rPr>
      </w:pPr>
      <w:r w:rsidRPr="004F6ECC">
        <w:rPr>
          <w:lang w:val="en"/>
        </w:rPr>
        <w:t>Planning pointers</w:t>
      </w:r>
    </w:p>
    <w:p w:rsidR="00027487" w:rsidRPr="004F6ECC" w:rsidRDefault="00027487" w:rsidP="00550313">
      <w:pPr>
        <w:rPr>
          <w:rFonts w:ascii="Calibri" w:hAnsi="Calibri"/>
          <w:sz w:val="22"/>
          <w:lang w:val="en"/>
        </w:rPr>
      </w:pPr>
      <w:r w:rsidRPr="004F6ECC">
        <w:rPr>
          <w:rFonts w:ascii="Calibri" w:hAnsi="Calibri"/>
          <w:sz w:val="22"/>
          <w:lang w:val="en"/>
        </w:rPr>
        <w:t>LESA is only available to landlords letting residential as opposed to holiday accommodation</w:t>
      </w:r>
      <w:r w:rsidR="007D36E7">
        <w:rPr>
          <w:rFonts w:ascii="Calibri" w:hAnsi="Calibri"/>
          <w:sz w:val="22"/>
          <w:lang w:val="en"/>
        </w:rPr>
        <w:t xml:space="preserve">. </w:t>
      </w:r>
      <w:r w:rsidRPr="004F6ECC">
        <w:rPr>
          <w:rFonts w:ascii="Calibri" w:hAnsi="Calibri"/>
          <w:sz w:val="22"/>
          <w:lang w:val="en"/>
        </w:rPr>
        <w:t>Why not ensure that your let properties are all as energy efficient as possible before this extra relief is withdrawn?</w:t>
      </w:r>
    </w:p>
    <w:p w:rsidR="00027487" w:rsidRPr="004F6ECC" w:rsidRDefault="007D36E7" w:rsidP="00B10FEB">
      <w:pPr>
        <w:pStyle w:val="Heading2"/>
        <w:rPr>
          <w:lang w:val="en"/>
        </w:rPr>
      </w:pPr>
      <w:r>
        <w:rPr>
          <w:lang w:val="en"/>
        </w:rPr>
        <w:t>Penalties</w:t>
      </w:r>
    </w:p>
    <w:p w:rsidR="007D36E7" w:rsidRDefault="007D36E7" w:rsidP="00B10FEB">
      <w:pPr>
        <w:pStyle w:val="Heading4"/>
        <w:rPr>
          <w:lang w:val="en"/>
        </w:rPr>
      </w:pPr>
      <w:r>
        <w:rPr>
          <w:lang w:val="en"/>
        </w:rPr>
        <w:t xml:space="preserve">Basics </w:t>
      </w:r>
    </w:p>
    <w:p w:rsidR="00027487" w:rsidRPr="004F6ECC" w:rsidRDefault="00027487" w:rsidP="003D1D5D">
      <w:pPr>
        <w:rPr>
          <w:rFonts w:ascii="Calibri" w:hAnsi="Calibri"/>
          <w:sz w:val="22"/>
          <w:lang w:val="en"/>
        </w:rPr>
      </w:pPr>
      <w:r w:rsidRPr="004F6ECC">
        <w:rPr>
          <w:rFonts w:ascii="Calibri" w:hAnsi="Calibri"/>
          <w:sz w:val="22"/>
          <w:lang w:val="en"/>
        </w:rPr>
        <w:t>The tax system is replete with penalties to which you may become liable if you either fail to file or pay late. This penalty regime covers such taxes as income tax, corporation tax, VAT and inheritance tax. There are also penalties to cover the notification of starting a business and the filing of returns and accounts at Companies House. So, for the avoidance of doubt, you should ensure that you know all of your filing and payment requirements and the due date for payment.</w:t>
      </w:r>
    </w:p>
    <w:p w:rsidR="00027487" w:rsidRPr="004F6ECC" w:rsidRDefault="00027487" w:rsidP="00B10FEB">
      <w:pPr>
        <w:pStyle w:val="Heading4"/>
        <w:rPr>
          <w:lang w:val="en"/>
        </w:rPr>
      </w:pPr>
      <w:r w:rsidRPr="004F6ECC">
        <w:rPr>
          <w:lang w:val="en"/>
        </w:rPr>
        <w:lastRenderedPageBreak/>
        <w:t>Planning pointers</w:t>
      </w:r>
    </w:p>
    <w:p w:rsidR="00027487" w:rsidRPr="004F6ECC" w:rsidRDefault="00027487" w:rsidP="003D1D5D">
      <w:pPr>
        <w:rPr>
          <w:rFonts w:ascii="Calibri" w:hAnsi="Calibri"/>
          <w:sz w:val="22"/>
          <w:lang w:val="en"/>
        </w:rPr>
      </w:pPr>
      <w:r w:rsidRPr="004F6ECC">
        <w:rPr>
          <w:rFonts w:ascii="Calibri" w:hAnsi="Calibri"/>
          <w:sz w:val="22"/>
          <w:lang w:val="en"/>
        </w:rPr>
        <w:t xml:space="preserve">Miss the first income tax return filing deadline and the next day you are liable for a £100 fine. Leave for another </w:t>
      </w:r>
      <w:r w:rsidR="007D36E7">
        <w:rPr>
          <w:rFonts w:ascii="Calibri" w:hAnsi="Calibri"/>
          <w:sz w:val="22"/>
          <w:lang w:val="en"/>
        </w:rPr>
        <w:t>3</w:t>
      </w:r>
      <w:r w:rsidR="007D36E7" w:rsidRPr="004F6ECC">
        <w:rPr>
          <w:rFonts w:ascii="Calibri" w:hAnsi="Calibri"/>
          <w:sz w:val="22"/>
          <w:lang w:val="en"/>
        </w:rPr>
        <w:t xml:space="preserve"> </w:t>
      </w:r>
      <w:r w:rsidRPr="004F6ECC">
        <w:rPr>
          <w:rFonts w:ascii="Calibri" w:hAnsi="Calibri"/>
          <w:sz w:val="22"/>
          <w:lang w:val="en"/>
        </w:rPr>
        <w:t xml:space="preserve">months and the maximum penalty rises by £10 a day up to a maximum of £900. After </w:t>
      </w:r>
      <w:r w:rsidR="007D36E7">
        <w:rPr>
          <w:rFonts w:ascii="Calibri" w:hAnsi="Calibri"/>
          <w:sz w:val="22"/>
          <w:lang w:val="en"/>
        </w:rPr>
        <w:t>6</w:t>
      </w:r>
      <w:r w:rsidR="007D36E7" w:rsidRPr="004F6ECC">
        <w:rPr>
          <w:rFonts w:ascii="Calibri" w:hAnsi="Calibri"/>
          <w:sz w:val="22"/>
          <w:lang w:val="en"/>
        </w:rPr>
        <w:t xml:space="preserve"> </w:t>
      </w:r>
      <w:r w:rsidRPr="004F6ECC">
        <w:rPr>
          <w:rFonts w:ascii="Calibri" w:hAnsi="Calibri"/>
          <w:sz w:val="22"/>
          <w:lang w:val="en"/>
        </w:rPr>
        <w:t>months a further £300 or 5% of the tax due, whichever is the higher, is added. In some serious cases the penalty can be even higher than this.</w:t>
      </w:r>
    </w:p>
    <w:p w:rsidR="00027487" w:rsidRPr="004F6ECC" w:rsidRDefault="00027487" w:rsidP="003D1D5D">
      <w:pPr>
        <w:rPr>
          <w:rFonts w:ascii="Calibri" w:hAnsi="Calibri"/>
          <w:sz w:val="22"/>
          <w:lang w:val="en"/>
        </w:rPr>
      </w:pPr>
      <w:r w:rsidRPr="004F6ECC">
        <w:rPr>
          <w:rFonts w:ascii="Calibri" w:hAnsi="Calibri"/>
          <w:sz w:val="22"/>
          <w:lang w:val="en"/>
        </w:rPr>
        <w:t>HMRC charge late filing penalties</w:t>
      </w:r>
      <w:r w:rsidR="00550313">
        <w:rPr>
          <w:rFonts w:ascii="Calibri" w:hAnsi="Calibri"/>
          <w:sz w:val="22"/>
          <w:lang w:val="en"/>
        </w:rPr>
        <w:t xml:space="preserve"> for PAYE, VAT and Corporation t</w:t>
      </w:r>
      <w:r w:rsidRPr="004F6ECC">
        <w:rPr>
          <w:rFonts w:ascii="Calibri" w:hAnsi="Calibri"/>
          <w:sz w:val="22"/>
          <w:lang w:val="en"/>
        </w:rPr>
        <w:t xml:space="preserve">ax while at Companies House penalty rates range from £150 for a private company filing the accounts not more than </w:t>
      </w:r>
      <w:r w:rsidR="007D36E7">
        <w:rPr>
          <w:rFonts w:ascii="Calibri" w:hAnsi="Calibri"/>
          <w:sz w:val="22"/>
          <w:lang w:val="en"/>
        </w:rPr>
        <w:t>1</w:t>
      </w:r>
      <w:r w:rsidR="007D36E7" w:rsidRPr="004F6ECC">
        <w:rPr>
          <w:rFonts w:ascii="Calibri" w:hAnsi="Calibri"/>
          <w:sz w:val="22"/>
          <w:lang w:val="en"/>
        </w:rPr>
        <w:t xml:space="preserve"> </w:t>
      </w:r>
      <w:r w:rsidRPr="004F6ECC">
        <w:rPr>
          <w:rFonts w:ascii="Calibri" w:hAnsi="Calibri"/>
          <w:sz w:val="22"/>
          <w:lang w:val="en"/>
        </w:rPr>
        <w:t xml:space="preserve">month late up to £7,500 for a public company filing accounts more than </w:t>
      </w:r>
      <w:r w:rsidR="007D36E7">
        <w:rPr>
          <w:rFonts w:ascii="Calibri" w:hAnsi="Calibri"/>
          <w:sz w:val="22"/>
          <w:lang w:val="en"/>
        </w:rPr>
        <w:t>6</w:t>
      </w:r>
      <w:r w:rsidR="007D36E7" w:rsidRPr="004F6ECC">
        <w:rPr>
          <w:rFonts w:ascii="Calibri" w:hAnsi="Calibri"/>
          <w:sz w:val="22"/>
          <w:lang w:val="en"/>
        </w:rPr>
        <w:t xml:space="preserve"> </w:t>
      </w:r>
      <w:r w:rsidRPr="004F6ECC">
        <w:rPr>
          <w:rFonts w:ascii="Calibri" w:hAnsi="Calibri"/>
          <w:sz w:val="22"/>
          <w:lang w:val="en"/>
        </w:rPr>
        <w:t>months late.</w:t>
      </w:r>
    </w:p>
    <w:p w:rsidR="00027487" w:rsidRPr="004F6ECC" w:rsidRDefault="00027487" w:rsidP="003D1D5D">
      <w:pPr>
        <w:rPr>
          <w:rFonts w:ascii="Calibri" w:hAnsi="Calibri"/>
          <w:sz w:val="22"/>
        </w:rPr>
      </w:pPr>
      <w:r w:rsidRPr="004F6ECC">
        <w:rPr>
          <w:rFonts w:ascii="Calibri" w:hAnsi="Calibri"/>
          <w:sz w:val="22"/>
        </w:rPr>
        <w:br w:type="page"/>
      </w:r>
    </w:p>
    <w:p w:rsidR="00DA064B" w:rsidRPr="00DA064B" w:rsidRDefault="00DA064B" w:rsidP="00B10FEB">
      <w:pPr>
        <w:pStyle w:val="Heading1"/>
        <w:rPr>
          <w:rFonts w:eastAsia="Times New Roman"/>
          <w:lang w:eastAsia="en-GB"/>
        </w:rPr>
      </w:pPr>
      <w:r w:rsidRPr="00DA064B">
        <w:rPr>
          <w:rFonts w:eastAsia="Times New Roman"/>
          <w:lang w:val="en" w:eastAsia="en-GB"/>
        </w:rPr>
        <w:lastRenderedPageBreak/>
        <w:t>Upcoming changes</w:t>
      </w:r>
    </w:p>
    <w:p w:rsidR="00027487" w:rsidRDefault="00DA064B" w:rsidP="000F2DD7">
      <w:pPr>
        <w:shd w:val="clear" w:color="auto" w:fill="FFFFFF"/>
        <w:spacing w:line="276" w:lineRule="atLeast"/>
        <w:rPr>
          <w:rFonts w:ascii="Calibri" w:hAnsi="Calibri"/>
          <w:sz w:val="22"/>
        </w:rPr>
      </w:pPr>
      <w:r w:rsidRPr="00DA064B">
        <w:rPr>
          <w:rFonts w:asciiTheme="minorHAnsi" w:eastAsia="Times New Roman" w:hAnsiTheme="minorHAnsi"/>
          <w:color w:val="000000"/>
          <w:sz w:val="22"/>
          <w:lang w:val="en" w:eastAsia="en-GB"/>
        </w:rPr>
        <w:t xml:space="preserve">The party (or </w:t>
      </w:r>
      <w:proofErr w:type="gramStart"/>
      <w:r w:rsidRPr="00DA064B">
        <w:rPr>
          <w:rFonts w:asciiTheme="minorHAnsi" w:eastAsia="Times New Roman" w:hAnsiTheme="minorHAnsi"/>
          <w:color w:val="000000"/>
          <w:sz w:val="22"/>
          <w:lang w:val="en" w:eastAsia="en-GB"/>
        </w:rPr>
        <w:t xml:space="preserve">parties) </w:t>
      </w:r>
      <w:r>
        <w:rPr>
          <w:rFonts w:asciiTheme="minorHAnsi" w:eastAsia="Times New Roman" w:hAnsiTheme="minorHAnsi"/>
          <w:color w:val="000000"/>
          <w:sz w:val="22"/>
          <w:lang w:val="en" w:eastAsia="en-GB"/>
        </w:rPr>
        <w:t>that wins</w:t>
      </w:r>
      <w:proofErr w:type="gramEnd"/>
      <w:r w:rsidRPr="00DA064B">
        <w:rPr>
          <w:rFonts w:asciiTheme="minorHAnsi" w:eastAsia="Times New Roman" w:hAnsiTheme="minorHAnsi"/>
          <w:color w:val="000000"/>
          <w:sz w:val="22"/>
          <w:lang w:val="en" w:eastAsia="en-GB"/>
        </w:rPr>
        <w:t xml:space="preserve"> the </w:t>
      </w:r>
      <w:r w:rsidR="00000612">
        <w:rPr>
          <w:rFonts w:asciiTheme="minorHAnsi" w:eastAsia="Times New Roman" w:hAnsiTheme="minorHAnsi"/>
          <w:color w:val="000000"/>
          <w:sz w:val="22"/>
          <w:lang w:val="en" w:eastAsia="en-GB"/>
        </w:rPr>
        <w:t>g</w:t>
      </w:r>
      <w:r w:rsidRPr="00DA064B">
        <w:rPr>
          <w:rFonts w:asciiTheme="minorHAnsi" w:eastAsia="Times New Roman" w:hAnsiTheme="minorHAnsi"/>
          <w:color w:val="000000"/>
          <w:sz w:val="22"/>
          <w:lang w:val="en" w:eastAsia="en-GB"/>
        </w:rPr>
        <w:t xml:space="preserve">eneral </w:t>
      </w:r>
      <w:r w:rsidR="00000612">
        <w:rPr>
          <w:rFonts w:asciiTheme="minorHAnsi" w:eastAsia="Times New Roman" w:hAnsiTheme="minorHAnsi"/>
          <w:color w:val="000000"/>
          <w:sz w:val="22"/>
          <w:lang w:val="en" w:eastAsia="en-GB"/>
        </w:rPr>
        <w:t>e</w:t>
      </w:r>
      <w:r w:rsidRPr="00DA064B">
        <w:rPr>
          <w:rFonts w:asciiTheme="minorHAnsi" w:eastAsia="Times New Roman" w:hAnsiTheme="minorHAnsi"/>
          <w:color w:val="000000"/>
          <w:sz w:val="22"/>
          <w:lang w:val="en" w:eastAsia="en-GB"/>
        </w:rPr>
        <w:t xml:space="preserve">lection in May </w:t>
      </w:r>
      <w:r>
        <w:rPr>
          <w:rFonts w:asciiTheme="minorHAnsi" w:eastAsia="Times New Roman" w:hAnsiTheme="minorHAnsi"/>
          <w:color w:val="000000"/>
          <w:sz w:val="22"/>
          <w:lang w:val="en" w:eastAsia="en-GB"/>
        </w:rPr>
        <w:t xml:space="preserve">is </w:t>
      </w:r>
      <w:r w:rsidRPr="00DA064B">
        <w:rPr>
          <w:rFonts w:asciiTheme="minorHAnsi" w:eastAsia="Times New Roman" w:hAnsiTheme="minorHAnsi"/>
          <w:color w:val="000000"/>
          <w:sz w:val="22"/>
          <w:lang w:val="en" w:eastAsia="en-GB"/>
        </w:rPr>
        <w:t xml:space="preserve">likely to make </w:t>
      </w:r>
      <w:r>
        <w:rPr>
          <w:rFonts w:asciiTheme="minorHAnsi" w:eastAsia="Times New Roman" w:hAnsiTheme="minorHAnsi"/>
          <w:color w:val="000000"/>
          <w:sz w:val="22"/>
          <w:lang w:val="en" w:eastAsia="en-GB"/>
        </w:rPr>
        <w:t>e</w:t>
      </w:r>
      <w:r w:rsidRPr="00DA064B">
        <w:rPr>
          <w:rFonts w:asciiTheme="minorHAnsi" w:eastAsia="Times New Roman" w:hAnsiTheme="minorHAnsi"/>
          <w:color w:val="000000"/>
          <w:sz w:val="22"/>
          <w:lang w:val="en" w:eastAsia="en-GB"/>
        </w:rPr>
        <w:t xml:space="preserve">lection promises that </w:t>
      </w:r>
      <w:r>
        <w:rPr>
          <w:rFonts w:asciiTheme="minorHAnsi" w:eastAsia="Times New Roman" w:hAnsiTheme="minorHAnsi"/>
          <w:color w:val="000000"/>
          <w:sz w:val="22"/>
          <w:lang w:val="en" w:eastAsia="en-GB"/>
        </w:rPr>
        <w:t xml:space="preserve">may </w:t>
      </w:r>
      <w:r w:rsidRPr="00DA064B">
        <w:rPr>
          <w:rFonts w:asciiTheme="minorHAnsi" w:eastAsia="Times New Roman" w:hAnsiTheme="minorHAnsi"/>
          <w:color w:val="000000"/>
          <w:sz w:val="22"/>
          <w:lang w:val="en" w:eastAsia="en-GB"/>
        </w:rPr>
        <w:t>change announcements already made – nothing is certain. Currently the </w:t>
      </w:r>
      <w:r w:rsidRPr="00DA064B">
        <w:rPr>
          <w:rFonts w:asciiTheme="minorHAnsi" w:eastAsia="Times New Roman" w:hAnsiTheme="minorHAnsi"/>
          <w:color w:val="000000"/>
          <w:sz w:val="22"/>
          <w:lang w:eastAsia="en-GB"/>
        </w:rPr>
        <w:t xml:space="preserve">starting rate limit on savings </w:t>
      </w:r>
      <w:r w:rsidR="00550313">
        <w:rPr>
          <w:rFonts w:asciiTheme="minorHAnsi" w:eastAsia="Times New Roman" w:hAnsiTheme="minorHAnsi"/>
          <w:color w:val="000000"/>
          <w:sz w:val="22"/>
          <w:lang w:eastAsia="en-GB"/>
        </w:rPr>
        <w:t xml:space="preserve">income is to increase to £5,000. The </w:t>
      </w:r>
      <w:r w:rsidRPr="00DA064B">
        <w:rPr>
          <w:rFonts w:asciiTheme="minorHAnsi" w:eastAsia="Times New Roman" w:hAnsiTheme="minorHAnsi"/>
          <w:color w:val="000000"/>
          <w:sz w:val="22"/>
          <w:lang w:eastAsia="en-GB"/>
        </w:rPr>
        <w:t xml:space="preserve">annual </w:t>
      </w:r>
      <w:r w:rsidR="00550313">
        <w:rPr>
          <w:rFonts w:asciiTheme="minorHAnsi" w:eastAsia="Times New Roman" w:hAnsiTheme="minorHAnsi"/>
          <w:color w:val="000000"/>
          <w:sz w:val="22"/>
          <w:lang w:eastAsia="en-GB"/>
        </w:rPr>
        <w:t>charge currently payable by non-</w:t>
      </w:r>
      <w:r w:rsidRPr="00DA064B">
        <w:rPr>
          <w:rFonts w:asciiTheme="minorHAnsi" w:eastAsia="Times New Roman" w:hAnsiTheme="minorHAnsi"/>
          <w:color w:val="000000"/>
          <w:sz w:val="22"/>
          <w:lang w:eastAsia="en-GB"/>
        </w:rPr>
        <w:t>domiciled individuals resident in the UK who wish to retain access to the remittance basis is to increase by £10,000 to £60,000 with a new charge of £90,000 for those who have been UK resident for 17 of the last 20 years. From April 2015, savers will be able to access their defined contribution pension as they wish at retirement, subject to their marginal rate of income tax, instead of the current 55% charge for full withdrawal. </w:t>
      </w:r>
    </w:p>
    <w:p w:rsidR="000F2DD7" w:rsidRPr="000F2DD7" w:rsidRDefault="000F2DD7" w:rsidP="000F2DD7">
      <w:pPr>
        <w:pStyle w:val="Heading1"/>
      </w:pPr>
      <w:r w:rsidRPr="000F2DD7">
        <w:t xml:space="preserve">Important information: </w:t>
      </w:r>
    </w:p>
    <w:p w:rsidR="000F2DD7" w:rsidRPr="000F2DD7" w:rsidRDefault="000F2DD7" w:rsidP="000F2DD7">
      <w:pPr>
        <w:pStyle w:val="NoSpacing"/>
        <w:spacing w:line="276" w:lineRule="auto"/>
        <w:rPr>
          <w:rFonts w:asciiTheme="minorHAnsi" w:hAnsiTheme="minorHAnsi"/>
          <w:b/>
          <w:sz w:val="22"/>
        </w:rPr>
      </w:pPr>
      <w:r w:rsidRPr="000F2DD7">
        <w:rPr>
          <w:rFonts w:asciiTheme="minorHAnsi" w:hAnsiTheme="minorHAnsi"/>
          <w:sz w:val="22"/>
        </w:rPr>
        <w:t>The way in which tax charges (or tax relief, as appropriate) are applied depends upon individual circumstances and may be subject to change in the future. ISA and pension eligibility depend upon individual circumstances. FCA regulation applies to certain regulated activities, products and services, but does not necessarily apply to all tax planning activities and services. This document is solely for information purposes and nothing in this document is intended to constitute advice or a recommendation. You should not make any investment decisions based upon its content. Whilst considerable care has been taken to ensure that the information contained within this document is accurate and up-to-date, no warranty is given as to the accuracy or completeness of any information. E &amp; OE.</w:t>
      </w:r>
    </w:p>
    <w:p w:rsidR="000F2DD7" w:rsidRPr="004F6ECC" w:rsidRDefault="000F2DD7" w:rsidP="003D1D5D">
      <w:pPr>
        <w:rPr>
          <w:rFonts w:ascii="Calibri" w:hAnsi="Calibri"/>
          <w:sz w:val="22"/>
        </w:rPr>
      </w:pPr>
    </w:p>
    <w:p w:rsidR="006B5699" w:rsidRPr="004F6ECC" w:rsidRDefault="006B5699" w:rsidP="003D1D5D">
      <w:pPr>
        <w:rPr>
          <w:rFonts w:ascii="Calibri" w:hAnsi="Calibri"/>
          <w:sz w:val="22"/>
        </w:rPr>
      </w:pPr>
    </w:p>
    <w:sectPr w:rsidR="006B5699" w:rsidRPr="004F6ECC" w:rsidSect="00D31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87"/>
    <w:rsid w:val="000004FC"/>
    <w:rsid w:val="00000612"/>
    <w:rsid w:val="000006EB"/>
    <w:rsid w:val="00002699"/>
    <w:rsid w:val="0000724A"/>
    <w:rsid w:val="000115B7"/>
    <w:rsid w:val="000137C8"/>
    <w:rsid w:val="00024888"/>
    <w:rsid w:val="00024F2A"/>
    <w:rsid w:val="00025548"/>
    <w:rsid w:val="00027487"/>
    <w:rsid w:val="00030DD4"/>
    <w:rsid w:val="00032C12"/>
    <w:rsid w:val="00032CDA"/>
    <w:rsid w:val="00032D7A"/>
    <w:rsid w:val="000365EB"/>
    <w:rsid w:val="00040534"/>
    <w:rsid w:val="0004082E"/>
    <w:rsid w:val="0004630E"/>
    <w:rsid w:val="00046819"/>
    <w:rsid w:val="000500B1"/>
    <w:rsid w:val="00050F19"/>
    <w:rsid w:val="0005523F"/>
    <w:rsid w:val="000559BA"/>
    <w:rsid w:val="00055E7E"/>
    <w:rsid w:val="00056351"/>
    <w:rsid w:val="000616B4"/>
    <w:rsid w:val="00062FDD"/>
    <w:rsid w:val="00063F90"/>
    <w:rsid w:val="000677FF"/>
    <w:rsid w:val="000702E5"/>
    <w:rsid w:val="000709E9"/>
    <w:rsid w:val="00071DBF"/>
    <w:rsid w:val="000748F5"/>
    <w:rsid w:val="00076944"/>
    <w:rsid w:val="000770D5"/>
    <w:rsid w:val="00081165"/>
    <w:rsid w:val="00085DCA"/>
    <w:rsid w:val="00086706"/>
    <w:rsid w:val="00090F73"/>
    <w:rsid w:val="00091283"/>
    <w:rsid w:val="00092D27"/>
    <w:rsid w:val="00092F57"/>
    <w:rsid w:val="00095023"/>
    <w:rsid w:val="00095262"/>
    <w:rsid w:val="000A2026"/>
    <w:rsid w:val="000A3230"/>
    <w:rsid w:val="000A7DCF"/>
    <w:rsid w:val="000B34FB"/>
    <w:rsid w:val="000B5036"/>
    <w:rsid w:val="000B656B"/>
    <w:rsid w:val="000B6B88"/>
    <w:rsid w:val="000C12F9"/>
    <w:rsid w:val="000C3C5F"/>
    <w:rsid w:val="000C600C"/>
    <w:rsid w:val="000D4359"/>
    <w:rsid w:val="000D6ADF"/>
    <w:rsid w:val="000D7E68"/>
    <w:rsid w:val="000E1D50"/>
    <w:rsid w:val="000E3C03"/>
    <w:rsid w:val="000E6713"/>
    <w:rsid w:val="000E7EF7"/>
    <w:rsid w:val="000F2DD7"/>
    <w:rsid w:val="000F2E68"/>
    <w:rsid w:val="000F3741"/>
    <w:rsid w:val="000F396E"/>
    <w:rsid w:val="000F3AD3"/>
    <w:rsid w:val="000F4806"/>
    <w:rsid w:val="001026A3"/>
    <w:rsid w:val="00104749"/>
    <w:rsid w:val="00106103"/>
    <w:rsid w:val="00107610"/>
    <w:rsid w:val="00111031"/>
    <w:rsid w:val="00112C7C"/>
    <w:rsid w:val="001141DD"/>
    <w:rsid w:val="0011504E"/>
    <w:rsid w:val="0011521A"/>
    <w:rsid w:val="0011659B"/>
    <w:rsid w:val="00121BDF"/>
    <w:rsid w:val="00121DFF"/>
    <w:rsid w:val="0012666A"/>
    <w:rsid w:val="00130725"/>
    <w:rsid w:val="00131DE8"/>
    <w:rsid w:val="00133DCD"/>
    <w:rsid w:val="00134454"/>
    <w:rsid w:val="001365DE"/>
    <w:rsid w:val="001374E4"/>
    <w:rsid w:val="00137CDF"/>
    <w:rsid w:val="00141E89"/>
    <w:rsid w:val="00146080"/>
    <w:rsid w:val="00147DB4"/>
    <w:rsid w:val="001518B6"/>
    <w:rsid w:val="00157D1D"/>
    <w:rsid w:val="00160437"/>
    <w:rsid w:val="00165BEA"/>
    <w:rsid w:val="00166657"/>
    <w:rsid w:val="00166F8F"/>
    <w:rsid w:val="00167C25"/>
    <w:rsid w:val="00181CC4"/>
    <w:rsid w:val="00186719"/>
    <w:rsid w:val="001908B9"/>
    <w:rsid w:val="00190C6B"/>
    <w:rsid w:val="00191094"/>
    <w:rsid w:val="0019131D"/>
    <w:rsid w:val="00192DDE"/>
    <w:rsid w:val="0019728E"/>
    <w:rsid w:val="001977FE"/>
    <w:rsid w:val="001A066D"/>
    <w:rsid w:val="001A2920"/>
    <w:rsid w:val="001A48A7"/>
    <w:rsid w:val="001A5890"/>
    <w:rsid w:val="001A5C2C"/>
    <w:rsid w:val="001A73CB"/>
    <w:rsid w:val="001B0FE5"/>
    <w:rsid w:val="001B5AAC"/>
    <w:rsid w:val="001C159F"/>
    <w:rsid w:val="001D055F"/>
    <w:rsid w:val="001D0A86"/>
    <w:rsid w:val="001D1E5C"/>
    <w:rsid w:val="001D2E21"/>
    <w:rsid w:val="001D5179"/>
    <w:rsid w:val="001D5F95"/>
    <w:rsid w:val="001D718A"/>
    <w:rsid w:val="001E14D1"/>
    <w:rsid w:val="001E238C"/>
    <w:rsid w:val="001E3822"/>
    <w:rsid w:val="001E505E"/>
    <w:rsid w:val="001F5290"/>
    <w:rsid w:val="0020134E"/>
    <w:rsid w:val="00201714"/>
    <w:rsid w:val="00203AD1"/>
    <w:rsid w:val="0020428F"/>
    <w:rsid w:val="00207884"/>
    <w:rsid w:val="0021122D"/>
    <w:rsid w:val="002137B2"/>
    <w:rsid w:val="002139CA"/>
    <w:rsid w:val="00213A0B"/>
    <w:rsid w:val="00213D67"/>
    <w:rsid w:val="0021407D"/>
    <w:rsid w:val="00216AA7"/>
    <w:rsid w:val="002230DC"/>
    <w:rsid w:val="0022626E"/>
    <w:rsid w:val="00231E1A"/>
    <w:rsid w:val="0023709D"/>
    <w:rsid w:val="002379AE"/>
    <w:rsid w:val="00241EE1"/>
    <w:rsid w:val="00242BF4"/>
    <w:rsid w:val="002431A9"/>
    <w:rsid w:val="00244C7A"/>
    <w:rsid w:val="00245F47"/>
    <w:rsid w:val="002613A0"/>
    <w:rsid w:val="0026431B"/>
    <w:rsid w:val="00265D02"/>
    <w:rsid w:val="002679B4"/>
    <w:rsid w:val="00275AF9"/>
    <w:rsid w:val="00276499"/>
    <w:rsid w:val="00277BE0"/>
    <w:rsid w:val="002800C7"/>
    <w:rsid w:val="00280FEA"/>
    <w:rsid w:val="002810C5"/>
    <w:rsid w:val="0028750A"/>
    <w:rsid w:val="002916D8"/>
    <w:rsid w:val="002A7C11"/>
    <w:rsid w:val="002A7E5A"/>
    <w:rsid w:val="002B09BA"/>
    <w:rsid w:val="002B0B99"/>
    <w:rsid w:val="002B1C4F"/>
    <w:rsid w:val="002B3BA1"/>
    <w:rsid w:val="002B4491"/>
    <w:rsid w:val="002B63FD"/>
    <w:rsid w:val="002C093D"/>
    <w:rsid w:val="002C0E3F"/>
    <w:rsid w:val="002C3112"/>
    <w:rsid w:val="002C584D"/>
    <w:rsid w:val="002C78B7"/>
    <w:rsid w:val="002E0388"/>
    <w:rsid w:val="002E069F"/>
    <w:rsid w:val="002E1694"/>
    <w:rsid w:val="002E405E"/>
    <w:rsid w:val="002F0A28"/>
    <w:rsid w:val="002F35F3"/>
    <w:rsid w:val="002F3F9D"/>
    <w:rsid w:val="002F4544"/>
    <w:rsid w:val="002F5C53"/>
    <w:rsid w:val="00301B68"/>
    <w:rsid w:val="0030341E"/>
    <w:rsid w:val="00303A3A"/>
    <w:rsid w:val="00310082"/>
    <w:rsid w:val="003107AD"/>
    <w:rsid w:val="003115B9"/>
    <w:rsid w:val="00312265"/>
    <w:rsid w:val="00313156"/>
    <w:rsid w:val="003139BF"/>
    <w:rsid w:val="00314C47"/>
    <w:rsid w:val="003153E6"/>
    <w:rsid w:val="00316039"/>
    <w:rsid w:val="0031768B"/>
    <w:rsid w:val="00320FC6"/>
    <w:rsid w:val="0032112C"/>
    <w:rsid w:val="003217A4"/>
    <w:rsid w:val="003237BF"/>
    <w:rsid w:val="00325D37"/>
    <w:rsid w:val="00326073"/>
    <w:rsid w:val="00331934"/>
    <w:rsid w:val="00331E02"/>
    <w:rsid w:val="00332454"/>
    <w:rsid w:val="003325DD"/>
    <w:rsid w:val="00334D71"/>
    <w:rsid w:val="0033573F"/>
    <w:rsid w:val="0033651E"/>
    <w:rsid w:val="00337441"/>
    <w:rsid w:val="003411C0"/>
    <w:rsid w:val="00341C0F"/>
    <w:rsid w:val="00341D3B"/>
    <w:rsid w:val="00342409"/>
    <w:rsid w:val="00344E64"/>
    <w:rsid w:val="0035180B"/>
    <w:rsid w:val="00351E7F"/>
    <w:rsid w:val="003554A2"/>
    <w:rsid w:val="00355C73"/>
    <w:rsid w:val="00356945"/>
    <w:rsid w:val="00360C1C"/>
    <w:rsid w:val="00360C8B"/>
    <w:rsid w:val="0036330C"/>
    <w:rsid w:val="00384D1C"/>
    <w:rsid w:val="0038587A"/>
    <w:rsid w:val="00386C07"/>
    <w:rsid w:val="003916CA"/>
    <w:rsid w:val="0039193D"/>
    <w:rsid w:val="00394084"/>
    <w:rsid w:val="003959EC"/>
    <w:rsid w:val="003A1D44"/>
    <w:rsid w:val="003A4E55"/>
    <w:rsid w:val="003A5C4E"/>
    <w:rsid w:val="003A71BE"/>
    <w:rsid w:val="003B0368"/>
    <w:rsid w:val="003B2D55"/>
    <w:rsid w:val="003B765C"/>
    <w:rsid w:val="003C3CB6"/>
    <w:rsid w:val="003C694B"/>
    <w:rsid w:val="003D09C7"/>
    <w:rsid w:val="003D1CF6"/>
    <w:rsid w:val="003D1D5D"/>
    <w:rsid w:val="003D32B4"/>
    <w:rsid w:val="003D53B8"/>
    <w:rsid w:val="003D5CFB"/>
    <w:rsid w:val="003D6F49"/>
    <w:rsid w:val="003D7A44"/>
    <w:rsid w:val="003E1361"/>
    <w:rsid w:val="003E1CD9"/>
    <w:rsid w:val="003E2DB7"/>
    <w:rsid w:val="003E6488"/>
    <w:rsid w:val="003E652D"/>
    <w:rsid w:val="003F0C06"/>
    <w:rsid w:val="003F5E78"/>
    <w:rsid w:val="003F7BBC"/>
    <w:rsid w:val="00404D3F"/>
    <w:rsid w:val="00405173"/>
    <w:rsid w:val="00412D01"/>
    <w:rsid w:val="00414A73"/>
    <w:rsid w:val="00415271"/>
    <w:rsid w:val="00415475"/>
    <w:rsid w:val="0041696C"/>
    <w:rsid w:val="0041708C"/>
    <w:rsid w:val="00422EC8"/>
    <w:rsid w:val="004247E2"/>
    <w:rsid w:val="00425920"/>
    <w:rsid w:val="004262E3"/>
    <w:rsid w:val="0043109C"/>
    <w:rsid w:val="0043226F"/>
    <w:rsid w:val="00432476"/>
    <w:rsid w:val="00432CF0"/>
    <w:rsid w:val="00433852"/>
    <w:rsid w:val="00434437"/>
    <w:rsid w:val="00441732"/>
    <w:rsid w:val="00444C97"/>
    <w:rsid w:val="00444CF1"/>
    <w:rsid w:val="0044501D"/>
    <w:rsid w:val="00447091"/>
    <w:rsid w:val="00451796"/>
    <w:rsid w:val="00452A1F"/>
    <w:rsid w:val="0045625B"/>
    <w:rsid w:val="00460D71"/>
    <w:rsid w:val="0046418B"/>
    <w:rsid w:val="00465574"/>
    <w:rsid w:val="00465871"/>
    <w:rsid w:val="004670D6"/>
    <w:rsid w:val="0047140E"/>
    <w:rsid w:val="00475DE3"/>
    <w:rsid w:val="004837B1"/>
    <w:rsid w:val="004840F5"/>
    <w:rsid w:val="00495E0B"/>
    <w:rsid w:val="00497FA2"/>
    <w:rsid w:val="004A0A5D"/>
    <w:rsid w:val="004A352E"/>
    <w:rsid w:val="004A4526"/>
    <w:rsid w:val="004A4A8B"/>
    <w:rsid w:val="004A59EF"/>
    <w:rsid w:val="004A7B18"/>
    <w:rsid w:val="004B22BB"/>
    <w:rsid w:val="004B3B42"/>
    <w:rsid w:val="004B4F20"/>
    <w:rsid w:val="004B52A8"/>
    <w:rsid w:val="004B5B42"/>
    <w:rsid w:val="004C088E"/>
    <w:rsid w:val="004C2433"/>
    <w:rsid w:val="004C482B"/>
    <w:rsid w:val="004C6A58"/>
    <w:rsid w:val="004C7BD4"/>
    <w:rsid w:val="004C7F46"/>
    <w:rsid w:val="004D0B5A"/>
    <w:rsid w:val="004D0C95"/>
    <w:rsid w:val="004D1D96"/>
    <w:rsid w:val="004D2AC8"/>
    <w:rsid w:val="004D2FE8"/>
    <w:rsid w:val="004D4639"/>
    <w:rsid w:val="004D5FBA"/>
    <w:rsid w:val="004D7425"/>
    <w:rsid w:val="004E216C"/>
    <w:rsid w:val="004E24B1"/>
    <w:rsid w:val="004E2AEE"/>
    <w:rsid w:val="004E3445"/>
    <w:rsid w:val="004E3FB5"/>
    <w:rsid w:val="004E5B81"/>
    <w:rsid w:val="004E64A7"/>
    <w:rsid w:val="004F1566"/>
    <w:rsid w:val="004F1FA8"/>
    <w:rsid w:val="004F3F0A"/>
    <w:rsid w:val="004F6DB5"/>
    <w:rsid w:val="004F6ECC"/>
    <w:rsid w:val="005077F1"/>
    <w:rsid w:val="00507B28"/>
    <w:rsid w:val="0051051E"/>
    <w:rsid w:val="00510786"/>
    <w:rsid w:val="005116C5"/>
    <w:rsid w:val="00515F8C"/>
    <w:rsid w:val="00516670"/>
    <w:rsid w:val="00523CD8"/>
    <w:rsid w:val="00524860"/>
    <w:rsid w:val="00524A06"/>
    <w:rsid w:val="00524FB0"/>
    <w:rsid w:val="0053287B"/>
    <w:rsid w:val="00533D45"/>
    <w:rsid w:val="00534EAD"/>
    <w:rsid w:val="0053542C"/>
    <w:rsid w:val="00535753"/>
    <w:rsid w:val="00536EDC"/>
    <w:rsid w:val="00537A25"/>
    <w:rsid w:val="00540CC5"/>
    <w:rsid w:val="00541976"/>
    <w:rsid w:val="00542EC2"/>
    <w:rsid w:val="00543A66"/>
    <w:rsid w:val="00543C6E"/>
    <w:rsid w:val="00545A8F"/>
    <w:rsid w:val="00545B0A"/>
    <w:rsid w:val="005501FE"/>
    <w:rsid w:val="00550313"/>
    <w:rsid w:val="00550A0F"/>
    <w:rsid w:val="00554013"/>
    <w:rsid w:val="00556A42"/>
    <w:rsid w:val="005617C7"/>
    <w:rsid w:val="00567105"/>
    <w:rsid w:val="00567611"/>
    <w:rsid w:val="005717B6"/>
    <w:rsid w:val="005743F5"/>
    <w:rsid w:val="0057487A"/>
    <w:rsid w:val="005755AD"/>
    <w:rsid w:val="005807B9"/>
    <w:rsid w:val="00581555"/>
    <w:rsid w:val="00582AFD"/>
    <w:rsid w:val="00584D5C"/>
    <w:rsid w:val="0058584D"/>
    <w:rsid w:val="00585F53"/>
    <w:rsid w:val="00587B45"/>
    <w:rsid w:val="00592ECE"/>
    <w:rsid w:val="00594615"/>
    <w:rsid w:val="00594933"/>
    <w:rsid w:val="0059746D"/>
    <w:rsid w:val="005975C7"/>
    <w:rsid w:val="005A26A7"/>
    <w:rsid w:val="005A440B"/>
    <w:rsid w:val="005A5040"/>
    <w:rsid w:val="005A6F9E"/>
    <w:rsid w:val="005B08F4"/>
    <w:rsid w:val="005B143B"/>
    <w:rsid w:val="005B1687"/>
    <w:rsid w:val="005B1F5C"/>
    <w:rsid w:val="005B2766"/>
    <w:rsid w:val="005B2F44"/>
    <w:rsid w:val="005B31B1"/>
    <w:rsid w:val="005B3C2D"/>
    <w:rsid w:val="005C0A4E"/>
    <w:rsid w:val="005C0DF5"/>
    <w:rsid w:val="005C0E72"/>
    <w:rsid w:val="005C64B4"/>
    <w:rsid w:val="005C75A6"/>
    <w:rsid w:val="005D202C"/>
    <w:rsid w:val="005D334A"/>
    <w:rsid w:val="005D4A7A"/>
    <w:rsid w:val="005D6121"/>
    <w:rsid w:val="005E173A"/>
    <w:rsid w:val="005E27D2"/>
    <w:rsid w:val="005E4B8E"/>
    <w:rsid w:val="005E4E2B"/>
    <w:rsid w:val="005E4EDC"/>
    <w:rsid w:val="005E5095"/>
    <w:rsid w:val="005E5D95"/>
    <w:rsid w:val="005E76C6"/>
    <w:rsid w:val="005F0D1D"/>
    <w:rsid w:val="005F12DD"/>
    <w:rsid w:val="005F25C8"/>
    <w:rsid w:val="005F45EC"/>
    <w:rsid w:val="005F5F5B"/>
    <w:rsid w:val="005F7048"/>
    <w:rsid w:val="00601499"/>
    <w:rsid w:val="00601ADE"/>
    <w:rsid w:val="00603CC6"/>
    <w:rsid w:val="006100ED"/>
    <w:rsid w:val="00610F87"/>
    <w:rsid w:val="00614CA5"/>
    <w:rsid w:val="0061539F"/>
    <w:rsid w:val="00617905"/>
    <w:rsid w:val="00617F76"/>
    <w:rsid w:val="006206E4"/>
    <w:rsid w:val="006231A9"/>
    <w:rsid w:val="00623D66"/>
    <w:rsid w:val="00624ED4"/>
    <w:rsid w:val="006252A6"/>
    <w:rsid w:val="0062712E"/>
    <w:rsid w:val="006320AA"/>
    <w:rsid w:val="00632C62"/>
    <w:rsid w:val="00632DC9"/>
    <w:rsid w:val="00633549"/>
    <w:rsid w:val="00633602"/>
    <w:rsid w:val="006339AC"/>
    <w:rsid w:val="00633D0E"/>
    <w:rsid w:val="006347B6"/>
    <w:rsid w:val="00636237"/>
    <w:rsid w:val="006365C6"/>
    <w:rsid w:val="006365DA"/>
    <w:rsid w:val="00641C1B"/>
    <w:rsid w:val="00643E15"/>
    <w:rsid w:val="00644006"/>
    <w:rsid w:val="006449D9"/>
    <w:rsid w:val="00651C25"/>
    <w:rsid w:val="00652BB2"/>
    <w:rsid w:val="00653F78"/>
    <w:rsid w:val="006557D0"/>
    <w:rsid w:val="00656DC1"/>
    <w:rsid w:val="006627BD"/>
    <w:rsid w:val="006673EA"/>
    <w:rsid w:val="0067015A"/>
    <w:rsid w:val="006734CB"/>
    <w:rsid w:val="00674FD5"/>
    <w:rsid w:val="006779B3"/>
    <w:rsid w:val="00685524"/>
    <w:rsid w:val="00685C64"/>
    <w:rsid w:val="006955B2"/>
    <w:rsid w:val="00695B98"/>
    <w:rsid w:val="00697079"/>
    <w:rsid w:val="006A0BFD"/>
    <w:rsid w:val="006A1A33"/>
    <w:rsid w:val="006A2D2C"/>
    <w:rsid w:val="006A3041"/>
    <w:rsid w:val="006A35C8"/>
    <w:rsid w:val="006A378B"/>
    <w:rsid w:val="006A5B60"/>
    <w:rsid w:val="006A699D"/>
    <w:rsid w:val="006A7188"/>
    <w:rsid w:val="006A7247"/>
    <w:rsid w:val="006B0710"/>
    <w:rsid w:val="006B1467"/>
    <w:rsid w:val="006B5699"/>
    <w:rsid w:val="006B63BB"/>
    <w:rsid w:val="006B7567"/>
    <w:rsid w:val="006D73C9"/>
    <w:rsid w:val="006D7A50"/>
    <w:rsid w:val="006D7CDA"/>
    <w:rsid w:val="006D7E21"/>
    <w:rsid w:val="006E607F"/>
    <w:rsid w:val="006F25A2"/>
    <w:rsid w:val="006F6871"/>
    <w:rsid w:val="006F69A4"/>
    <w:rsid w:val="00701B4A"/>
    <w:rsid w:val="00705E1B"/>
    <w:rsid w:val="0070798E"/>
    <w:rsid w:val="007116B5"/>
    <w:rsid w:val="0072079F"/>
    <w:rsid w:val="00721C65"/>
    <w:rsid w:val="00724349"/>
    <w:rsid w:val="00724DCE"/>
    <w:rsid w:val="007267D8"/>
    <w:rsid w:val="00727077"/>
    <w:rsid w:val="007314F1"/>
    <w:rsid w:val="0073267B"/>
    <w:rsid w:val="00733DA3"/>
    <w:rsid w:val="00735A99"/>
    <w:rsid w:val="007360F2"/>
    <w:rsid w:val="007375DD"/>
    <w:rsid w:val="00737788"/>
    <w:rsid w:val="0074178E"/>
    <w:rsid w:val="00741FFA"/>
    <w:rsid w:val="00742DD6"/>
    <w:rsid w:val="00744652"/>
    <w:rsid w:val="00745710"/>
    <w:rsid w:val="00745E12"/>
    <w:rsid w:val="00750CE6"/>
    <w:rsid w:val="00750D94"/>
    <w:rsid w:val="00751CA9"/>
    <w:rsid w:val="00752878"/>
    <w:rsid w:val="007539D6"/>
    <w:rsid w:val="00755230"/>
    <w:rsid w:val="007602CB"/>
    <w:rsid w:val="00763D99"/>
    <w:rsid w:val="00764E4C"/>
    <w:rsid w:val="007715A1"/>
    <w:rsid w:val="0078273C"/>
    <w:rsid w:val="00783209"/>
    <w:rsid w:val="00785489"/>
    <w:rsid w:val="00796FB8"/>
    <w:rsid w:val="007A02BF"/>
    <w:rsid w:val="007A1790"/>
    <w:rsid w:val="007A250F"/>
    <w:rsid w:val="007A25AE"/>
    <w:rsid w:val="007A64BC"/>
    <w:rsid w:val="007A66B6"/>
    <w:rsid w:val="007B5BA6"/>
    <w:rsid w:val="007C645F"/>
    <w:rsid w:val="007C75CF"/>
    <w:rsid w:val="007D2AD4"/>
    <w:rsid w:val="007D36E7"/>
    <w:rsid w:val="007D5211"/>
    <w:rsid w:val="007D53D8"/>
    <w:rsid w:val="007E51DD"/>
    <w:rsid w:val="007E66FB"/>
    <w:rsid w:val="007F1016"/>
    <w:rsid w:val="007F4CEB"/>
    <w:rsid w:val="007F61E2"/>
    <w:rsid w:val="00801934"/>
    <w:rsid w:val="00802BC4"/>
    <w:rsid w:val="008059B2"/>
    <w:rsid w:val="0080605F"/>
    <w:rsid w:val="00806622"/>
    <w:rsid w:val="00807B66"/>
    <w:rsid w:val="00812A0C"/>
    <w:rsid w:val="00814F41"/>
    <w:rsid w:val="008175E8"/>
    <w:rsid w:val="00817D77"/>
    <w:rsid w:val="008210C5"/>
    <w:rsid w:val="00822A80"/>
    <w:rsid w:val="00825CD2"/>
    <w:rsid w:val="00826699"/>
    <w:rsid w:val="00830E2C"/>
    <w:rsid w:val="0083668E"/>
    <w:rsid w:val="00836905"/>
    <w:rsid w:val="00836CE2"/>
    <w:rsid w:val="008435EB"/>
    <w:rsid w:val="00844B1B"/>
    <w:rsid w:val="00844EB2"/>
    <w:rsid w:val="008469BE"/>
    <w:rsid w:val="00846AAB"/>
    <w:rsid w:val="008526C6"/>
    <w:rsid w:val="00854B3A"/>
    <w:rsid w:val="00854FFB"/>
    <w:rsid w:val="008675F9"/>
    <w:rsid w:val="00871A32"/>
    <w:rsid w:val="00873009"/>
    <w:rsid w:val="008743F8"/>
    <w:rsid w:val="008774D9"/>
    <w:rsid w:val="00877D41"/>
    <w:rsid w:val="00877DDE"/>
    <w:rsid w:val="0088126C"/>
    <w:rsid w:val="00882229"/>
    <w:rsid w:val="00882D51"/>
    <w:rsid w:val="008835D9"/>
    <w:rsid w:val="00885D1E"/>
    <w:rsid w:val="00886AFB"/>
    <w:rsid w:val="008904FF"/>
    <w:rsid w:val="00890709"/>
    <w:rsid w:val="00893876"/>
    <w:rsid w:val="00894402"/>
    <w:rsid w:val="00894A8D"/>
    <w:rsid w:val="008A0692"/>
    <w:rsid w:val="008A0DA8"/>
    <w:rsid w:val="008A0F21"/>
    <w:rsid w:val="008A1733"/>
    <w:rsid w:val="008A65E6"/>
    <w:rsid w:val="008B3B79"/>
    <w:rsid w:val="008C0A91"/>
    <w:rsid w:val="008C1D21"/>
    <w:rsid w:val="008C403B"/>
    <w:rsid w:val="008C6855"/>
    <w:rsid w:val="008C74E3"/>
    <w:rsid w:val="008D1035"/>
    <w:rsid w:val="008D115A"/>
    <w:rsid w:val="008D20EF"/>
    <w:rsid w:val="008D2189"/>
    <w:rsid w:val="008D2B3C"/>
    <w:rsid w:val="008D353B"/>
    <w:rsid w:val="008D6FCF"/>
    <w:rsid w:val="008E65D1"/>
    <w:rsid w:val="008F0871"/>
    <w:rsid w:val="008F2E90"/>
    <w:rsid w:val="008F7CB6"/>
    <w:rsid w:val="0090001E"/>
    <w:rsid w:val="00901679"/>
    <w:rsid w:val="00907807"/>
    <w:rsid w:val="009078C4"/>
    <w:rsid w:val="00910AA0"/>
    <w:rsid w:val="00910FBF"/>
    <w:rsid w:val="009117DA"/>
    <w:rsid w:val="00911C32"/>
    <w:rsid w:val="00912770"/>
    <w:rsid w:val="00916F80"/>
    <w:rsid w:val="009179C2"/>
    <w:rsid w:val="00921554"/>
    <w:rsid w:val="00922B81"/>
    <w:rsid w:val="00923447"/>
    <w:rsid w:val="009242F0"/>
    <w:rsid w:val="009246A9"/>
    <w:rsid w:val="00932402"/>
    <w:rsid w:val="0093674E"/>
    <w:rsid w:val="009427AD"/>
    <w:rsid w:val="00942CD1"/>
    <w:rsid w:val="00944569"/>
    <w:rsid w:val="00945456"/>
    <w:rsid w:val="00952036"/>
    <w:rsid w:val="00955AB3"/>
    <w:rsid w:val="00956AEC"/>
    <w:rsid w:val="00965D81"/>
    <w:rsid w:val="0096688A"/>
    <w:rsid w:val="00967680"/>
    <w:rsid w:val="00970F66"/>
    <w:rsid w:val="00971B1E"/>
    <w:rsid w:val="00972AD4"/>
    <w:rsid w:val="00972E3D"/>
    <w:rsid w:val="00972E4C"/>
    <w:rsid w:val="0097478E"/>
    <w:rsid w:val="009747FE"/>
    <w:rsid w:val="00975148"/>
    <w:rsid w:val="0098589B"/>
    <w:rsid w:val="00992C6F"/>
    <w:rsid w:val="00993076"/>
    <w:rsid w:val="009941EC"/>
    <w:rsid w:val="009A23C3"/>
    <w:rsid w:val="009A296F"/>
    <w:rsid w:val="009A3029"/>
    <w:rsid w:val="009A4F1B"/>
    <w:rsid w:val="009B4C89"/>
    <w:rsid w:val="009B533F"/>
    <w:rsid w:val="009B7934"/>
    <w:rsid w:val="009C3080"/>
    <w:rsid w:val="009D16B5"/>
    <w:rsid w:val="009D468D"/>
    <w:rsid w:val="009D55F8"/>
    <w:rsid w:val="009D63EB"/>
    <w:rsid w:val="009D6976"/>
    <w:rsid w:val="009E1572"/>
    <w:rsid w:val="009E223C"/>
    <w:rsid w:val="009E2EB1"/>
    <w:rsid w:val="009E74CF"/>
    <w:rsid w:val="009F130A"/>
    <w:rsid w:val="009F1C2C"/>
    <w:rsid w:val="009F22F4"/>
    <w:rsid w:val="009F2E8D"/>
    <w:rsid w:val="009F3343"/>
    <w:rsid w:val="009F4CE6"/>
    <w:rsid w:val="009F5C64"/>
    <w:rsid w:val="00A0056F"/>
    <w:rsid w:val="00A0419E"/>
    <w:rsid w:val="00A04C7D"/>
    <w:rsid w:val="00A11282"/>
    <w:rsid w:val="00A12103"/>
    <w:rsid w:val="00A13CAF"/>
    <w:rsid w:val="00A150E1"/>
    <w:rsid w:val="00A176F7"/>
    <w:rsid w:val="00A17A4F"/>
    <w:rsid w:val="00A200BD"/>
    <w:rsid w:val="00A222D5"/>
    <w:rsid w:val="00A229E0"/>
    <w:rsid w:val="00A23238"/>
    <w:rsid w:val="00A239E5"/>
    <w:rsid w:val="00A24FA5"/>
    <w:rsid w:val="00A31E56"/>
    <w:rsid w:val="00A36D51"/>
    <w:rsid w:val="00A421E9"/>
    <w:rsid w:val="00A53A1D"/>
    <w:rsid w:val="00A549BA"/>
    <w:rsid w:val="00A563A5"/>
    <w:rsid w:val="00A57DBF"/>
    <w:rsid w:val="00A64D98"/>
    <w:rsid w:val="00A7014F"/>
    <w:rsid w:val="00A70ECE"/>
    <w:rsid w:val="00A72491"/>
    <w:rsid w:val="00A7544B"/>
    <w:rsid w:val="00A82C20"/>
    <w:rsid w:val="00A84DA4"/>
    <w:rsid w:val="00A864B8"/>
    <w:rsid w:val="00A8754A"/>
    <w:rsid w:val="00A94B68"/>
    <w:rsid w:val="00A969F6"/>
    <w:rsid w:val="00AA3849"/>
    <w:rsid w:val="00AA543F"/>
    <w:rsid w:val="00AA683E"/>
    <w:rsid w:val="00AA6942"/>
    <w:rsid w:val="00AA7DBB"/>
    <w:rsid w:val="00AB1F97"/>
    <w:rsid w:val="00AB4A49"/>
    <w:rsid w:val="00AB7B1D"/>
    <w:rsid w:val="00AB7DB3"/>
    <w:rsid w:val="00AC7F88"/>
    <w:rsid w:val="00AE01B7"/>
    <w:rsid w:val="00AE0CF9"/>
    <w:rsid w:val="00AE2AF8"/>
    <w:rsid w:val="00AF1428"/>
    <w:rsid w:val="00AF2409"/>
    <w:rsid w:val="00AF26A4"/>
    <w:rsid w:val="00AF55DD"/>
    <w:rsid w:val="00AF5996"/>
    <w:rsid w:val="00AF6FD5"/>
    <w:rsid w:val="00B00930"/>
    <w:rsid w:val="00B06823"/>
    <w:rsid w:val="00B07173"/>
    <w:rsid w:val="00B10FEB"/>
    <w:rsid w:val="00B112AD"/>
    <w:rsid w:val="00B15CE4"/>
    <w:rsid w:val="00B174D8"/>
    <w:rsid w:val="00B2008D"/>
    <w:rsid w:val="00B2063A"/>
    <w:rsid w:val="00B20C81"/>
    <w:rsid w:val="00B22706"/>
    <w:rsid w:val="00B23F7F"/>
    <w:rsid w:val="00B25178"/>
    <w:rsid w:val="00B26037"/>
    <w:rsid w:val="00B32C99"/>
    <w:rsid w:val="00B33DC7"/>
    <w:rsid w:val="00B341FE"/>
    <w:rsid w:val="00B368AA"/>
    <w:rsid w:val="00B36EE5"/>
    <w:rsid w:val="00B41F74"/>
    <w:rsid w:val="00B42F78"/>
    <w:rsid w:val="00B46BB4"/>
    <w:rsid w:val="00B511CB"/>
    <w:rsid w:val="00B51237"/>
    <w:rsid w:val="00B53930"/>
    <w:rsid w:val="00B6021E"/>
    <w:rsid w:val="00B6103C"/>
    <w:rsid w:val="00B66B37"/>
    <w:rsid w:val="00B67068"/>
    <w:rsid w:val="00B672FE"/>
    <w:rsid w:val="00B70552"/>
    <w:rsid w:val="00B7161E"/>
    <w:rsid w:val="00B73403"/>
    <w:rsid w:val="00B73A7C"/>
    <w:rsid w:val="00B80824"/>
    <w:rsid w:val="00B825BE"/>
    <w:rsid w:val="00B82F74"/>
    <w:rsid w:val="00B85273"/>
    <w:rsid w:val="00B85D18"/>
    <w:rsid w:val="00B873F9"/>
    <w:rsid w:val="00B877EE"/>
    <w:rsid w:val="00B87AB6"/>
    <w:rsid w:val="00B900F0"/>
    <w:rsid w:val="00B90704"/>
    <w:rsid w:val="00B9111B"/>
    <w:rsid w:val="00B92177"/>
    <w:rsid w:val="00BA0AA5"/>
    <w:rsid w:val="00BB4043"/>
    <w:rsid w:val="00BB46F3"/>
    <w:rsid w:val="00BB55BD"/>
    <w:rsid w:val="00BB70CA"/>
    <w:rsid w:val="00BB7A9F"/>
    <w:rsid w:val="00BC0348"/>
    <w:rsid w:val="00BC148F"/>
    <w:rsid w:val="00BC694B"/>
    <w:rsid w:val="00BD3E71"/>
    <w:rsid w:val="00BE04E6"/>
    <w:rsid w:val="00BE16CA"/>
    <w:rsid w:val="00BE5413"/>
    <w:rsid w:val="00BE569D"/>
    <w:rsid w:val="00BE7622"/>
    <w:rsid w:val="00BE7D27"/>
    <w:rsid w:val="00BF4797"/>
    <w:rsid w:val="00C04179"/>
    <w:rsid w:val="00C04444"/>
    <w:rsid w:val="00C07822"/>
    <w:rsid w:val="00C1176C"/>
    <w:rsid w:val="00C13B7E"/>
    <w:rsid w:val="00C16D16"/>
    <w:rsid w:val="00C20CBB"/>
    <w:rsid w:val="00C21A4F"/>
    <w:rsid w:val="00C22E18"/>
    <w:rsid w:val="00C243FE"/>
    <w:rsid w:val="00C25AF4"/>
    <w:rsid w:val="00C25E04"/>
    <w:rsid w:val="00C26770"/>
    <w:rsid w:val="00C307EE"/>
    <w:rsid w:val="00C30CC1"/>
    <w:rsid w:val="00C332B2"/>
    <w:rsid w:val="00C34D03"/>
    <w:rsid w:val="00C41DF0"/>
    <w:rsid w:val="00C43B3E"/>
    <w:rsid w:val="00C4635B"/>
    <w:rsid w:val="00C5076D"/>
    <w:rsid w:val="00C54791"/>
    <w:rsid w:val="00C56319"/>
    <w:rsid w:val="00C60561"/>
    <w:rsid w:val="00C61A92"/>
    <w:rsid w:val="00C65961"/>
    <w:rsid w:val="00C65FC0"/>
    <w:rsid w:val="00C70971"/>
    <w:rsid w:val="00C72DE6"/>
    <w:rsid w:val="00C81FBE"/>
    <w:rsid w:val="00C825D6"/>
    <w:rsid w:val="00C85433"/>
    <w:rsid w:val="00C86258"/>
    <w:rsid w:val="00C90184"/>
    <w:rsid w:val="00C905E3"/>
    <w:rsid w:val="00C91581"/>
    <w:rsid w:val="00C9610B"/>
    <w:rsid w:val="00C973FF"/>
    <w:rsid w:val="00CA2072"/>
    <w:rsid w:val="00CA35A2"/>
    <w:rsid w:val="00CA6039"/>
    <w:rsid w:val="00CA6A76"/>
    <w:rsid w:val="00CB147B"/>
    <w:rsid w:val="00CB203E"/>
    <w:rsid w:val="00CB35C1"/>
    <w:rsid w:val="00CB36F9"/>
    <w:rsid w:val="00CC3C6E"/>
    <w:rsid w:val="00CC584A"/>
    <w:rsid w:val="00CD00B2"/>
    <w:rsid w:val="00CD120F"/>
    <w:rsid w:val="00CD1FD4"/>
    <w:rsid w:val="00CD3DB8"/>
    <w:rsid w:val="00CD527C"/>
    <w:rsid w:val="00CE0356"/>
    <w:rsid w:val="00CE19F7"/>
    <w:rsid w:val="00CE1D5F"/>
    <w:rsid w:val="00CE637E"/>
    <w:rsid w:val="00CF12FC"/>
    <w:rsid w:val="00CF1BF1"/>
    <w:rsid w:val="00CF508C"/>
    <w:rsid w:val="00CF7AAE"/>
    <w:rsid w:val="00CF7E73"/>
    <w:rsid w:val="00D01B56"/>
    <w:rsid w:val="00D02DB6"/>
    <w:rsid w:val="00D02FC6"/>
    <w:rsid w:val="00D04668"/>
    <w:rsid w:val="00D05BD9"/>
    <w:rsid w:val="00D11062"/>
    <w:rsid w:val="00D12BEB"/>
    <w:rsid w:val="00D153EE"/>
    <w:rsid w:val="00D17470"/>
    <w:rsid w:val="00D179B4"/>
    <w:rsid w:val="00D210B9"/>
    <w:rsid w:val="00D22821"/>
    <w:rsid w:val="00D27EBA"/>
    <w:rsid w:val="00D3165E"/>
    <w:rsid w:val="00D32EDB"/>
    <w:rsid w:val="00D34204"/>
    <w:rsid w:val="00D35BFB"/>
    <w:rsid w:val="00D35F73"/>
    <w:rsid w:val="00D40127"/>
    <w:rsid w:val="00D40AED"/>
    <w:rsid w:val="00D411C8"/>
    <w:rsid w:val="00D4144E"/>
    <w:rsid w:val="00D41EAE"/>
    <w:rsid w:val="00D42C8B"/>
    <w:rsid w:val="00D43594"/>
    <w:rsid w:val="00D43E43"/>
    <w:rsid w:val="00D47866"/>
    <w:rsid w:val="00D479D5"/>
    <w:rsid w:val="00D51A9C"/>
    <w:rsid w:val="00D5241E"/>
    <w:rsid w:val="00D524E7"/>
    <w:rsid w:val="00D5497A"/>
    <w:rsid w:val="00D55AFB"/>
    <w:rsid w:val="00D5725F"/>
    <w:rsid w:val="00D57349"/>
    <w:rsid w:val="00D61C84"/>
    <w:rsid w:val="00D620A7"/>
    <w:rsid w:val="00D63AAA"/>
    <w:rsid w:val="00D64162"/>
    <w:rsid w:val="00D66915"/>
    <w:rsid w:val="00D7210D"/>
    <w:rsid w:val="00D7455C"/>
    <w:rsid w:val="00D74C68"/>
    <w:rsid w:val="00D77E6F"/>
    <w:rsid w:val="00D83AD3"/>
    <w:rsid w:val="00D87D0C"/>
    <w:rsid w:val="00D92CA0"/>
    <w:rsid w:val="00D94DE4"/>
    <w:rsid w:val="00D95173"/>
    <w:rsid w:val="00D965D8"/>
    <w:rsid w:val="00D97F04"/>
    <w:rsid w:val="00DA064B"/>
    <w:rsid w:val="00DA2A5E"/>
    <w:rsid w:val="00DA3B5D"/>
    <w:rsid w:val="00DA49FA"/>
    <w:rsid w:val="00DA50A3"/>
    <w:rsid w:val="00DA5E3B"/>
    <w:rsid w:val="00DB406C"/>
    <w:rsid w:val="00DB686A"/>
    <w:rsid w:val="00DC238E"/>
    <w:rsid w:val="00DC5726"/>
    <w:rsid w:val="00DC596C"/>
    <w:rsid w:val="00DC7C71"/>
    <w:rsid w:val="00DD0C49"/>
    <w:rsid w:val="00DD1C4E"/>
    <w:rsid w:val="00DD2FF0"/>
    <w:rsid w:val="00DD4C06"/>
    <w:rsid w:val="00DD532E"/>
    <w:rsid w:val="00DD5780"/>
    <w:rsid w:val="00DD5A58"/>
    <w:rsid w:val="00DE0756"/>
    <w:rsid w:val="00DE4E98"/>
    <w:rsid w:val="00DE6146"/>
    <w:rsid w:val="00DE7094"/>
    <w:rsid w:val="00DF08D2"/>
    <w:rsid w:val="00DF1FD5"/>
    <w:rsid w:val="00DF3BA3"/>
    <w:rsid w:val="00DF5538"/>
    <w:rsid w:val="00DF5BC2"/>
    <w:rsid w:val="00DF714C"/>
    <w:rsid w:val="00DF7736"/>
    <w:rsid w:val="00DF7973"/>
    <w:rsid w:val="00E04995"/>
    <w:rsid w:val="00E05A95"/>
    <w:rsid w:val="00E11EC5"/>
    <w:rsid w:val="00E1223D"/>
    <w:rsid w:val="00E13B93"/>
    <w:rsid w:val="00E1428A"/>
    <w:rsid w:val="00E152E5"/>
    <w:rsid w:val="00E158B5"/>
    <w:rsid w:val="00E176FA"/>
    <w:rsid w:val="00E20901"/>
    <w:rsid w:val="00E215A1"/>
    <w:rsid w:val="00E21615"/>
    <w:rsid w:val="00E22A65"/>
    <w:rsid w:val="00E22A79"/>
    <w:rsid w:val="00E351AA"/>
    <w:rsid w:val="00E3642E"/>
    <w:rsid w:val="00E36755"/>
    <w:rsid w:val="00E41C63"/>
    <w:rsid w:val="00E42EE6"/>
    <w:rsid w:val="00E43613"/>
    <w:rsid w:val="00E472B7"/>
    <w:rsid w:val="00E503B7"/>
    <w:rsid w:val="00E51D5F"/>
    <w:rsid w:val="00E52518"/>
    <w:rsid w:val="00E52B18"/>
    <w:rsid w:val="00E53F91"/>
    <w:rsid w:val="00E57608"/>
    <w:rsid w:val="00E622BC"/>
    <w:rsid w:val="00E62782"/>
    <w:rsid w:val="00E6390E"/>
    <w:rsid w:val="00E64B9A"/>
    <w:rsid w:val="00E64EE4"/>
    <w:rsid w:val="00E6669D"/>
    <w:rsid w:val="00E66E52"/>
    <w:rsid w:val="00E67561"/>
    <w:rsid w:val="00E677F8"/>
    <w:rsid w:val="00E71A59"/>
    <w:rsid w:val="00E73BA7"/>
    <w:rsid w:val="00E77BA1"/>
    <w:rsid w:val="00E81082"/>
    <w:rsid w:val="00E87446"/>
    <w:rsid w:val="00E87747"/>
    <w:rsid w:val="00E90679"/>
    <w:rsid w:val="00E9145D"/>
    <w:rsid w:val="00E93B70"/>
    <w:rsid w:val="00E93BA5"/>
    <w:rsid w:val="00E941E0"/>
    <w:rsid w:val="00E95C32"/>
    <w:rsid w:val="00E96953"/>
    <w:rsid w:val="00E97FE5"/>
    <w:rsid w:val="00EA0250"/>
    <w:rsid w:val="00EA150D"/>
    <w:rsid w:val="00EA1A73"/>
    <w:rsid w:val="00EA2273"/>
    <w:rsid w:val="00EA6B74"/>
    <w:rsid w:val="00EB4487"/>
    <w:rsid w:val="00EB4C35"/>
    <w:rsid w:val="00EB75A6"/>
    <w:rsid w:val="00EB7BDC"/>
    <w:rsid w:val="00EC029D"/>
    <w:rsid w:val="00EC2835"/>
    <w:rsid w:val="00EC7A8B"/>
    <w:rsid w:val="00ED0BB6"/>
    <w:rsid w:val="00ED0BCB"/>
    <w:rsid w:val="00ED13A4"/>
    <w:rsid w:val="00ED1AC2"/>
    <w:rsid w:val="00ED3A55"/>
    <w:rsid w:val="00EE2657"/>
    <w:rsid w:val="00EE28A4"/>
    <w:rsid w:val="00EE7D43"/>
    <w:rsid w:val="00EE7EC5"/>
    <w:rsid w:val="00EF08B1"/>
    <w:rsid w:val="00EF0B9A"/>
    <w:rsid w:val="00EF2DAE"/>
    <w:rsid w:val="00EF500F"/>
    <w:rsid w:val="00F01642"/>
    <w:rsid w:val="00F02211"/>
    <w:rsid w:val="00F02E07"/>
    <w:rsid w:val="00F04297"/>
    <w:rsid w:val="00F04342"/>
    <w:rsid w:val="00F04FEE"/>
    <w:rsid w:val="00F065F1"/>
    <w:rsid w:val="00F06E6D"/>
    <w:rsid w:val="00F07ABE"/>
    <w:rsid w:val="00F10F43"/>
    <w:rsid w:val="00F11A89"/>
    <w:rsid w:val="00F129C6"/>
    <w:rsid w:val="00F141CD"/>
    <w:rsid w:val="00F1455E"/>
    <w:rsid w:val="00F1576F"/>
    <w:rsid w:val="00F15CC9"/>
    <w:rsid w:val="00F213E7"/>
    <w:rsid w:val="00F232D5"/>
    <w:rsid w:val="00F23F3E"/>
    <w:rsid w:val="00F25729"/>
    <w:rsid w:val="00F32EF1"/>
    <w:rsid w:val="00F3724F"/>
    <w:rsid w:val="00F4032A"/>
    <w:rsid w:val="00F421BD"/>
    <w:rsid w:val="00F422A6"/>
    <w:rsid w:val="00F4234A"/>
    <w:rsid w:val="00F42F60"/>
    <w:rsid w:val="00F4564D"/>
    <w:rsid w:val="00F45F59"/>
    <w:rsid w:val="00F5422E"/>
    <w:rsid w:val="00F54C5A"/>
    <w:rsid w:val="00F632FC"/>
    <w:rsid w:val="00F647C8"/>
    <w:rsid w:val="00F6535D"/>
    <w:rsid w:val="00F653E4"/>
    <w:rsid w:val="00F7201A"/>
    <w:rsid w:val="00F7391F"/>
    <w:rsid w:val="00F74145"/>
    <w:rsid w:val="00F74355"/>
    <w:rsid w:val="00F746E5"/>
    <w:rsid w:val="00F82EE4"/>
    <w:rsid w:val="00F84585"/>
    <w:rsid w:val="00F8497C"/>
    <w:rsid w:val="00F84D06"/>
    <w:rsid w:val="00F93736"/>
    <w:rsid w:val="00F942F6"/>
    <w:rsid w:val="00F94C7B"/>
    <w:rsid w:val="00F96DAC"/>
    <w:rsid w:val="00F9702B"/>
    <w:rsid w:val="00F97319"/>
    <w:rsid w:val="00FA2D26"/>
    <w:rsid w:val="00FB375A"/>
    <w:rsid w:val="00FB5782"/>
    <w:rsid w:val="00FB733D"/>
    <w:rsid w:val="00FC61AF"/>
    <w:rsid w:val="00FD57ED"/>
    <w:rsid w:val="00FE002E"/>
    <w:rsid w:val="00FE028D"/>
    <w:rsid w:val="00FE155A"/>
    <w:rsid w:val="00FE3A05"/>
    <w:rsid w:val="00FE3CF0"/>
    <w:rsid w:val="00FE52E4"/>
    <w:rsid w:val="00FE6139"/>
    <w:rsid w:val="00FE7CE1"/>
    <w:rsid w:val="00FF12E1"/>
    <w:rsid w:val="00FF248B"/>
    <w:rsid w:val="00FF5303"/>
    <w:rsid w:val="00FF62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87"/>
    <w:rPr>
      <w:rFonts w:ascii="Minion Pro" w:eastAsia="Calibri" w:hAnsi="Minion Pro" w:cs="Times New Roman"/>
      <w:sz w:val="24"/>
    </w:rPr>
  </w:style>
  <w:style w:type="paragraph" w:styleId="Heading1">
    <w:name w:val="heading 1"/>
    <w:basedOn w:val="Normal"/>
    <w:next w:val="Normal"/>
    <w:link w:val="Heading1Char"/>
    <w:uiPriority w:val="9"/>
    <w:qFormat/>
    <w:rsid w:val="003D1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1D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D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D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487"/>
    <w:rPr>
      <w:color w:val="0000FF"/>
      <w:u w:val="single"/>
    </w:rPr>
  </w:style>
  <w:style w:type="character" w:styleId="CommentReference">
    <w:name w:val="annotation reference"/>
    <w:basedOn w:val="DefaultParagraphFont"/>
    <w:uiPriority w:val="99"/>
    <w:semiHidden/>
    <w:unhideWhenUsed/>
    <w:rsid w:val="00027487"/>
    <w:rPr>
      <w:sz w:val="16"/>
      <w:szCs w:val="16"/>
    </w:rPr>
  </w:style>
  <w:style w:type="paragraph" w:styleId="CommentText">
    <w:name w:val="annotation text"/>
    <w:basedOn w:val="Normal"/>
    <w:link w:val="CommentTextChar"/>
    <w:uiPriority w:val="99"/>
    <w:semiHidden/>
    <w:unhideWhenUsed/>
    <w:rsid w:val="00027487"/>
    <w:pPr>
      <w:spacing w:line="240" w:lineRule="auto"/>
    </w:pPr>
    <w:rPr>
      <w:sz w:val="20"/>
      <w:szCs w:val="20"/>
    </w:rPr>
  </w:style>
  <w:style w:type="character" w:customStyle="1" w:styleId="CommentTextChar">
    <w:name w:val="Comment Text Char"/>
    <w:basedOn w:val="DefaultParagraphFont"/>
    <w:link w:val="CommentText"/>
    <w:uiPriority w:val="99"/>
    <w:semiHidden/>
    <w:rsid w:val="00027487"/>
    <w:rPr>
      <w:rFonts w:ascii="Minion Pro" w:eastAsia="Calibri" w:hAnsi="Minion Pro" w:cs="Times New Roman"/>
      <w:sz w:val="20"/>
      <w:szCs w:val="20"/>
    </w:rPr>
  </w:style>
  <w:style w:type="paragraph" w:styleId="BalloonText">
    <w:name w:val="Balloon Text"/>
    <w:basedOn w:val="Normal"/>
    <w:link w:val="BalloonTextChar"/>
    <w:uiPriority w:val="99"/>
    <w:semiHidden/>
    <w:unhideWhenUsed/>
    <w:rsid w:val="0002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87"/>
    <w:rPr>
      <w:rFonts w:ascii="Tahoma" w:eastAsia="Calibri" w:hAnsi="Tahoma" w:cs="Tahoma"/>
      <w:sz w:val="16"/>
      <w:szCs w:val="16"/>
    </w:rPr>
  </w:style>
  <w:style w:type="paragraph" w:styleId="Title">
    <w:name w:val="Title"/>
    <w:basedOn w:val="Normal"/>
    <w:next w:val="Normal"/>
    <w:link w:val="TitleChar"/>
    <w:uiPriority w:val="10"/>
    <w:qFormat/>
    <w:rsid w:val="004D5F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5FB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D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1D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D5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3D1D5D"/>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DefaultParagraphFont"/>
    <w:rsid w:val="00DA064B"/>
  </w:style>
  <w:style w:type="paragraph" w:styleId="NoSpacing">
    <w:name w:val="No Spacing"/>
    <w:uiPriority w:val="1"/>
    <w:qFormat/>
    <w:rsid w:val="000F2DD7"/>
    <w:pPr>
      <w:spacing w:after="0" w:line="240" w:lineRule="auto"/>
    </w:pPr>
    <w:rPr>
      <w:rFonts w:ascii="Minion Pro" w:eastAsia="Calibri" w:hAnsi="Minion Pro"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87"/>
    <w:rPr>
      <w:rFonts w:ascii="Minion Pro" w:eastAsia="Calibri" w:hAnsi="Minion Pro" w:cs="Times New Roman"/>
      <w:sz w:val="24"/>
    </w:rPr>
  </w:style>
  <w:style w:type="paragraph" w:styleId="Heading1">
    <w:name w:val="heading 1"/>
    <w:basedOn w:val="Normal"/>
    <w:next w:val="Normal"/>
    <w:link w:val="Heading1Char"/>
    <w:uiPriority w:val="9"/>
    <w:qFormat/>
    <w:rsid w:val="003D1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1D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D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D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487"/>
    <w:rPr>
      <w:color w:val="0000FF"/>
      <w:u w:val="single"/>
    </w:rPr>
  </w:style>
  <w:style w:type="character" w:styleId="CommentReference">
    <w:name w:val="annotation reference"/>
    <w:basedOn w:val="DefaultParagraphFont"/>
    <w:uiPriority w:val="99"/>
    <w:semiHidden/>
    <w:unhideWhenUsed/>
    <w:rsid w:val="00027487"/>
    <w:rPr>
      <w:sz w:val="16"/>
      <w:szCs w:val="16"/>
    </w:rPr>
  </w:style>
  <w:style w:type="paragraph" w:styleId="CommentText">
    <w:name w:val="annotation text"/>
    <w:basedOn w:val="Normal"/>
    <w:link w:val="CommentTextChar"/>
    <w:uiPriority w:val="99"/>
    <w:semiHidden/>
    <w:unhideWhenUsed/>
    <w:rsid w:val="00027487"/>
    <w:pPr>
      <w:spacing w:line="240" w:lineRule="auto"/>
    </w:pPr>
    <w:rPr>
      <w:sz w:val="20"/>
      <w:szCs w:val="20"/>
    </w:rPr>
  </w:style>
  <w:style w:type="character" w:customStyle="1" w:styleId="CommentTextChar">
    <w:name w:val="Comment Text Char"/>
    <w:basedOn w:val="DefaultParagraphFont"/>
    <w:link w:val="CommentText"/>
    <w:uiPriority w:val="99"/>
    <w:semiHidden/>
    <w:rsid w:val="00027487"/>
    <w:rPr>
      <w:rFonts w:ascii="Minion Pro" w:eastAsia="Calibri" w:hAnsi="Minion Pro" w:cs="Times New Roman"/>
      <w:sz w:val="20"/>
      <w:szCs w:val="20"/>
    </w:rPr>
  </w:style>
  <w:style w:type="paragraph" w:styleId="BalloonText">
    <w:name w:val="Balloon Text"/>
    <w:basedOn w:val="Normal"/>
    <w:link w:val="BalloonTextChar"/>
    <w:uiPriority w:val="99"/>
    <w:semiHidden/>
    <w:unhideWhenUsed/>
    <w:rsid w:val="0002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87"/>
    <w:rPr>
      <w:rFonts w:ascii="Tahoma" w:eastAsia="Calibri" w:hAnsi="Tahoma" w:cs="Tahoma"/>
      <w:sz w:val="16"/>
      <w:szCs w:val="16"/>
    </w:rPr>
  </w:style>
  <w:style w:type="paragraph" w:styleId="Title">
    <w:name w:val="Title"/>
    <w:basedOn w:val="Normal"/>
    <w:next w:val="Normal"/>
    <w:link w:val="TitleChar"/>
    <w:uiPriority w:val="10"/>
    <w:qFormat/>
    <w:rsid w:val="004D5F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5FB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D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1D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D5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3D1D5D"/>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DefaultParagraphFont"/>
    <w:rsid w:val="00DA064B"/>
  </w:style>
  <w:style w:type="paragraph" w:styleId="NoSpacing">
    <w:name w:val="No Spacing"/>
    <w:uiPriority w:val="1"/>
    <w:qFormat/>
    <w:rsid w:val="000F2DD7"/>
    <w:pPr>
      <w:spacing w:after="0" w:line="240" w:lineRule="auto"/>
    </w:pPr>
    <w:rPr>
      <w:rFonts w:ascii="Minion Pro" w:eastAsia="Calibri" w:hAnsi="Minion 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22002">
      <w:bodyDiv w:val="1"/>
      <w:marLeft w:val="0"/>
      <w:marRight w:val="0"/>
      <w:marTop w:val="0"/>
      <w:marBottom w:val="0"/>
      <w:divBdr>
        <w:top w:val="none" w:sz="0" w:space="0" w:color="auto"/>
        <w:left w:val="none" w:sz="0" w:space="0" w:color="auto"/>
        <w:bottom w:val="none" w:sz="0" w:space="0" w:color="auto"/>
        <w:right w:val="none" w:sz="0" w:space="0" w:color="auto"/>
      </w:divBdr>
    </w:div>
    <w:div w:id="19776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Neal</dc:creator>
  <cp:lastModifiedBy>Matt Hoare</cp:lastModifiedBy>
  <cp:revision>2</cp:revision>
  <cp:lastPrinted>2015-01-29T15:29:00Z</cp:lastPrinted>
  <dcterms:created xsi:type="dcterms:W3CDTF">2015-01-29T17:03:00Z</dcterms:created>
  <dcterms:modified xsi:type="dcterms:W3CDTF">2015-01-29T17:03:00Z</dcterms:modified>
</cp:coreProperties>
</file>